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9C_615/2020 vom 15. September 2021</w:t>
      </w:r>
    </w:p>
    <w:p>
      <w:r>
        <w:t>Bundesgericht, 2021-09-15, DE</w:t>
      </w:r>
    </w:p>
    <w:p>
      <w:r>
        <w:rPr>
          <w:b/>
        </w:rPr>
        <w:t xml:space="preserve">Quelle: </w:t>
      </w:r>
      <w:r>
        <w:t>https://mcp.opencaselaw.ch/entscheid/bger_9C_615_2020</w:t>
      </w:r>
    </w:p>
    <w:p>
      <w:r>
        <w:t>FR: TF 9C_615/2020 du 15 septembre 2021</w:t>
      </w:r>
    </w:p>
    <w:p>
      <w:r>
        <w:t>IT: TF 9C_615/2020 del 15 settembre 2021</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Entscheids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w:t>
      </w:r>
    </w:p>
    <w:p>
      <w:r>
        <w:t>Rechtsbegehren sind nach Treu und Glauben auszulegen, insbesondere im Lichte der dazu gegebenen Begründung ( BGE 123 IV 125 E. 1; Urteil 9C_344/2020 vom 22. Februar 2021 E. 1.2). Es genügt, wenn der Beschwerde insgesamt entnommen werden kann, was die beschwerdeführende Person verlangt (SVR 2004 IV Nr. 25 S. 75, I 138/02 E. 3.2.1 mit Hinweisen).</w:t>
      </w:r>
    </w:p>
    <w:p>
      <w:r>
        <w:rPr>
          <w:b/>
        </w:rPr>
        <w:t>E. 1.2</w:t>
      </w:r>
    </w:p>
    <w:p>
      <w:r>
        <w:t>Der Beschwerdeführer stellt einen grundsätzlich unzulässigen rein kassatorischen Antrag. Aus dem Gesamtzusammenhang der Begründung ergibt sich jedoch, dass er seine Qualifikation als sozialversicherungsrechtlich unselbständig Erwerbender anfechten will. Hierzu ist er - auch mit Blick auf Art. 89 Abs. 1 BGG - befugt (vgl. etwa Urteil 8C_189/2017 vom 19. Juni 2017). Die übrigen Sachurteilsvoraussetzungen geben zu keinen Bemerkungen Anlass (Art. 82 lit. a, Art. 83 e contrario, Art. 86 Abs. 1 lit. d und Abs. 2, Art. 90 und Art. 100 Abs. 1 BGG ), weshalb auf die Beschwerde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Das Bundesgericht prüft nach Art. 106 Abs. 2 BGG die Verletzung von Grundrechten und von kantonalem und interkantonalem Recht nur insofern, als eine solche Rüge in der Beschwerde vorgebracht und begründet worden ist.</w:t>
      </w:r>
    </w:p>
    <w:p>
      <w:r>
        <w:rPr>
          <w:b/>
        </w:rPr>
        <w:t>E. 3</w:t>
      </w:r>
    </w:p>
    <w:p>
      <w:r>
        <w:t>Streitig und zu prüfen ist, ob das kantonale Gericht Bundesrecht verletzte, als es den Beschwerdeführer als sozialversicherungsrechtlich unselbständigen Arbeitnehmer der B.________ AG qualifizierte.</w:t>
      </w:r>
    </w:p>
    <w:p>
      <w:r>
        <w:rPr>
          <w:b/>
        </w:rPr>
        <w:t>E. 4</w:t>
      </w:r>
    </w:p>
    <w:p>
      <w:r>
        <w:t>Der Beschwerdeführer rügt, das kantonale Gericht habe seinen Anspruch auf rechtliches Gehör ( Art. 29 Abs. 2 BV ) verletzt, indem es eine Gerichtsverhandlung durchgeführt habe, ohne ihn als Beigeladenen hierüber vorab zu informieren und ihm damit die Gelegenheit zur Teilnahme an dieser zu geben.</w:t>
      </w:r>
    </w:p>
    <w:p>
      <w:r>
        <w:rPr>
          <w:b/>
        </w:rPr>
        <w:t>E. 4.1</w:t>
      </w:r>
    </w:p>
    <w:p>
      <w:r>
        <w:t>Die bundesgerichtliche Rechtsprechung verlangt gestützt auf den auch für Private geltenden Grundsatz von Treu und Glauben und das Verbot des Rechtsmissbrauchs ( Art. 5 Abs. 3 BV ;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 134 I 20 E. 4.3.1; 132 II 485 E. 4.3; 130 III 66 E. 4.3; je mit Hinweisen; Urteil 9C_344/2020 vom 22. Februar 2021 E. 4.3).</w:t>
      </w:r>
    </w:p>
    <w:p>
      <w:r>
        <w:rPr>
          <w:b/>
        </w:rPr>
        <w:t>E. 4.2</w:t>
      </w:r>
    </w:p>
    <w:p>
      <w:r>
        <w:t>Der Beschwerdeführer wurde - neben sieben weiteren Taxifahrern - mit Verfügung vom 24. Oktober 2019 zum Verfahren zwischen der B.________ AG und der Ausgleichskasse des Kantons Zürich beigeladen. In der Folge liess er sich am 5. Dezember 2019 vernehmen, ohne zum Antrag der vorinstanzlichen Beschwerdeführerin um Durchführung einer Gerichtsverhandlung Stellung zu nehmen oder selber einen entsprechenden Antrag zu stellen. Ob die Vorinstanz damit von einem Verzicht des Beschwerdeführers an der Teilnahme an einer solchen Verhandlung ausgehen durfte, erscheint zwar als zweifelhaft, braucht jedoch nicht abschliessend geprüft zu werden. Feststeht jedenfalls, dass er spätestens mit der Eröffnung der Verfügung des kantonalen Gerichts vom 27. Mai 2020, mit welcher ihm das Protokoll der Hauptverhandlung vom 18. Mai 2020 zugestellt wurde, Kenntnis von der Durchführung der Verhandlung erhalten hat. Damit wurde der Beschwerdeführer in die Lage versetzt, den nunmehr geltend gemachten Verfahrensmangel sofort zu rügen. Indem er dies unterliess, verstiess er gegen den Grundsatz, wonach Verfahrensmängel so früh wie möglich geltend zu machen sind (vgl. E 3.1 hievor). Demzufolge ist er mit seiner Rüge betreffend der Nichteinladung zur Hauptverhandlung vom 18. Mai 2020 im vorliegenden Verfahrensstadium nicht mehr zu hören.</w:t>
      </w:r>
    </w:p>
    <w:p>
      <w:r>
        <w:rPr>
          <w:b/>
        </w:rPr>
        <w:t>E. 5</w:t>
      </w:r>
    </w:p>
    <w:p>
      <w:r>
        <w:t>Weiter macht der Beschwerdeführer eine Verletzung der Wirtschaftsfreiheit ( Art. 27 BV ) geltend. Soweit diese Rüge überhaupt in einer Art. 106 Abs. 2 BV (vgl. E. 2.2 hievor) genügenden Weise vorgebracht wurde, erweist sie sich als offensichtlich unbegründet. Das vorinstanzliche Urteil beschlägt lediglich die Frage der sozialversicherungsrechtlichen Qualifikation seines Einkommens aus der Zusammenarbeit mit der B.________ AG, schränkt aber in keiner Weise seine Möglichkeiten ein, seine privatrechtlichen Rechtsverhältnisse - im Rahmen der gesetzlichen Schranken - frei auszugestalten. Entsprechend ist die Beschwerde auch in diesem Punkt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