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9C_614/2019 vom 17. Dezember 2019</w:t>
      </w:r>
    </w:p>
    <w:p>
      <w:r>
        <w:t>Bundesgericht, 2019-12-17, FR</w:t>
      </w:r>
    </w:p>
    <w:p>
      <w:r>
        <w:rPr>
          <w:b/>
        </w:rPr>
        <w:t xml:space="preserve">Quelle: </w:t>
      </w:r>
      <w:r>
        <w:t>https://mcp.opencaselaw.ch/entscheid/bger_9C_614_2019</w:t>
      </w:r>
    </w:p>
    <w:p>
      <w:r>
        <w:t>FR: TF 9C_614/2019 du 17 décembre 2019</w:t>
      </w:r>
    </w:p>
    <w:p>
      <w:r>
        <w:t>IT: TF 9C_614/2019 del 17 dicembre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des assurances sociales, et à l'Office fédéral des assurances sociales.</w:t>
      </w:r>
    </w:p>
    <w:p>
      <w:r>
        <w:t>Lucerne, le 17 décembre 2019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