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614/2007 vom 19. Juni 2008</w:t>
      </w:r>
    </w:p>
    <w:p>
      <w:r>
        <w:t>Bundesgericht, 2008-06-19, DE</w:t>
      </w:r>
    </w:p>
    <w:p>
      <w:r>
        <w:rPr>
          <w:b/>
        </w:rPr>
        <w:t xml:space="preserve">Quelle: </w:t>
      </w:r>
      <w:r>
        <w:t>https://mcp.opencaselaw.ch/entscheid/bger_9C_614_2007</w:t>
      </w:r>
    </w:p>
    <w:p>
      <w:r>
        <w:t>FR: TF 9C 614/2007 du 19 juin 2008</w:t>
      </w:r>
    </w:p>
    <w:p>
      <w:r>
        <w:t>IT: TF 9C 614/2007 del 19 giugno 2008</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und zu prüfen ist, ob es sich bei der Firma C.________ um eine einfache Gesellschaft handelt mit der Folge, dass der Beschwerdeführer in solidarischer Haftung mit den beiden anderen Gesellschaftern W.________ und K.________, welche den vorinstanzlichen Entscheid vom 6. Juli 2007 nicht angefochten haben, die Beitragsforderung der Beschwerdegegnerin über den Betrag von Fr. 21'624.05, zuzüglich Zins, zu bezahlen hat.</w:t>
      </w:r>
    </w:p>
    <w:p>
      <w:r>
        <w:rPr>
          <w:b/>
        </w:rPr>
        <w:t>E. 3</w:t>
      </w:r>
    </w:p>
    <w:p>
      <w:r>
        <w:t>Das Verwaltungsgericht hat unter Hinweis auf Art. 530 Abs. 1, 533 Abs. 1 und 544 Abs. 3 OR sowie die hiezu ergangene Rechtsprechung ( BGE 124 III 363 E. II 2a S. 364 f., 116 II 707 E. 2a S. 710) und die Lehre (Guhl/Druey, das Schweizerische Obligationenrecht, frische Obligationenrecht, 9. Auflage, Zürich 2000, § 61 Rz. 20, 23, 28 und 33 f. sowie § 62 Rz. 48 ff.) die Wesensmerkmale einer einfachen Gesellschaft, namentlich auch die solidarische Haftung jedes Gesellschafters für die gesamten Verbindlichkeiten, zutreffend dargestellt. Des Weiteren hat die Vorinstanz die Punkte aufgezählt, die für die Abgrenzung der einfachen Gesellschaft von der Kollektivgesellschaft im Allgemeinen ( Art. 552 OR ) sowie hinsichtlich der Haftung der Gesellschafter (Art. 568 Abs. 3 und 569 Abs. 1 OR) von Bedeutung sind. Auf diese Erwägungen kann verwiesen werden.</w:t>
      </w:r>
    </w:p>
    <w:p>
      <w:r>
        <w:rPr>
          <w:b/>
        </w:rPr>
        <w:t>E. 4.1</w:t>
      </w:r>
    </w:p>
    <w:p>
      <w:r>
        <w:t>Das kantonale Gericht stellte fest, Grundlage für die Forderung bilde der Anschlussvertrag, der 1985 zwischen der Winterthur-Columna und der Firma C.________ geschlossen wurde. Die Firma C.________ habe seit 1969 mit der Ausgleichskasse des Kantons Bern immer unter der gleichen Mitgliedernummer abgerechnet, jedoch wiederholt Bezeichnung und Geschäftsadresse geändert. Dieser Umstand wie auch der Name Firma C.________, der sich als roter Faden durch die Firmengeschichte zieht, seien als Indizien dafür zu werten, dass die Firma C.________ bereits zur Zeit, aus welcher die BVG-Beitragsausstände stammen, eine einfache Gesellschaft war mit dem Zweck, gemeinsam eine Taxitelefonzentrale zu betreiben. Im Weiteren sei die Gesellschaft nicht im Handelsregister eingetragen gewesen und die Gesellschafter hätten einen monatlichen Beitrag leisten müssen, um an der Taxizentrale beteiligt sein zu können, was geradezu das Charakteristikum einer einfachen Gesellschaft sei. Ausgeschlossen werde das Vorliegen einer Kollektivgesellschaft, der laut Art. 552 Abs. 1 OR nur natürliche Personen angehören können, durch den Umstand, dass der Taxizentrale Firma C.________ selbstständige Taxiunternehmer mit eigener Firma angeschlossen waren. Diese Umstände sprächen insgesamt dafür, dass die Taxizentrale Firma C.________ die Rechtsform einer einfachen Gesellschaft hat.</w:t>
      </w:r>
    </w:p>
    <w:p>
      <w:r>
        <w:rPr>
          <w:b/>
        </w:rPr>
        <w:t>E. 4.2</w:t>
      </w:r>
    </w:p>
    <w:p>
      <w:r>
        <w:t>Mit Bezug auf die Haftung des Beschwerdeführers B.________ stellte die Vorinstanz fest, dessen Vater A.________ sei zur Zeit, als die ausstehenden BVG-Beiträge zu bezahlen waren, mit seinem Taxiunternehmen an der einfachen Gesellschaft Firma C.________ beteiligt gewesen und habe als Gesellschafter für die BVG-Beiträge nach Art. 544 Abs. 3 OR solidarisch einstehen müssen. Nach dem Tod seines Vaters im Jahre 1999 habe der Beschwerdeführer mit den Miterben eine Erbengemeinschaft gebildet und in der Folge solidarisch für die Schulden seines Vaters gehaftet, woraus sich seine Haftung für die eingeklagten BVG-Beiträge ergebe.</w:t>
      </w:r>
    </w:p>
    <w:p>
      <w:r>
        <w:rPr>
          <w:b/>
        </w:rPr>
        <w:t>E. 5</w:t>
      </w:r>
    </w:p>
    <w:p>
      <w:r>
        <w:t>Den Erwägungen des Verwaltungsgerichts ist vollumfänglich beizupflichten. Die in der Beschwerde gegen die Qualifizierung der Firma C.________ als einfache Gesellschaft erhobenen Einwendungen sind nicht stichhaltig. Die Behauptung, zum Abschluss eines Vertrages seien nur alle Mitglieder einer einfachen Gesellschaft als Vertragspartner gemeinsam befugt, findet im Gesetz keine Stütze (vgl. auch Art. 543 OR ). Ein solches Erfordernis erscheint schon deswegen sinnlos, als für verschiedene Verträge, u.a. auch den Anschlussvertrag, nicht einmal Schriftlichkeit vorausgesetzt wird, wie die Winterthur-Columna richtig einwendet. Dass der Vater des Beschwerdeführers den Anschlussvertrag nicht selbst unterzeichnet hat, mag zutreffen, ist aber unerheblich. Denn die Sachverhaltsfeststellung der Vorinstanz, wonach der Vater Gesellschafter gewesen sei, ist nicht offensichtlich unrichtig une auch nicht sonstwie bundesrechtswidrig, weshalb das Bundesgericht daran gebunden ist. Ebenso war die damalige Geschäftsführerin befugt, den Vertrag als Vertreterin der übrigen Gesellschafter zu unterschreiben. Die weiteren Vorbringen beziehen sich zur Hauptsache auf die fehlende Haftung des Beschwerdeführers bei Vorliegen einer Kollektivgesellschaft und sind, da aus den von der Vorinstanz genannten Gründen auf das Bestehen einer einfachen Gesellschaft zu schliessen ist, irrelevant. Die erstmals vor Bundesgericht erhobene, nicht von Amtes wegen zu prüfende ( Art. 41 BVG i.V.m. Art. 142 OG ) Einrede der Verjährung der Beitragsforderung ist, ob als neue Tatsache ( Art. 99 Abs. 1 BGG ) oder als neues Begehren ( Art. 99 Abs. 2 BGG ) betrachtet, unzulässig (vgl. das zur Publikation in BGE 134 V vorgesehene Urteil 9C_568/2007 vom 14. März 2008). Vielmehr hätte die angebliche Verjährung bereits im kantonalen Prozess einredeweise geltend gemacht werden müssen.</w:t>
      </w:r>
    </w:p>
    <w:p>
      <w:r>
        <w:rPr>
          <w:b/>
        </w:rPr>
        <w:t>E. 6</w:t>
      </w:r>
    </w:p>
    <w:p>
      <w:r>
        <w:t>Dem Verfahrensausgang entsprechend sind die Gerichtskosten dem unterliegenden Beschwerdeführer aufzuerlegen ( Art. 66 Abs. 1 BGG ). Als mit öffentlich-rechtlichen Aufgaben betraute Organisation hat die Winterthur-Columna keinen Anspruch auf eine Parteientschädigung ( Art. 68 Abs. 3 BGG ; vgl. BGE 126 V 143 E. 4a S.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