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612/2007 vom 14. Juli 2008</w:t>
      </w:r>
    </w:p>
    <w:p>
      <w:r>
        <w:t>Bundesgericht, 2008-07-14, FR</w:t>
      </w:r>
    </w:p>
    <w:p>
      <w:r>
        <w:rPr>
          <w:b/>
        </w:rPr>
        <w:t xml:space="preserve">Quelle: </w:t>
      </w:r>
      <w:r>
        <w:t>https://mcp.opencaselaw.ch/entscheid/bger_9C_612_2007</w:t>
      </w:r>
    </w:p>
    <w:p>
      <w:r>
        <w:t>FR: TF 9C 612/2007 du 14 juillet 2008</w:t>
      </w:r>
    </w:p>
    <w:p>
      <w:r>
        <w:t>IT: TF 9C 612/2007 del 14 luglio 2008</w:t>
      </w:r>
    </w:p>
    <w:p>
      <w:pPr>
        <w:pStyle w:val="Heading2"/>
      </w:pPr>
      <w:r>
        <w:t>Regeste</w:t>
      </w:r>
    </w:p>
    <w:p>
      <w:r>
        <w:t>Assurance-invalidité | Assurance-invalidité</w:t>
      </w:r>
    </w:p>
    <w:p>
      <w:pPr>
        <w:pStyle w:val="Heading2"/>
      </w:pPr>
      <w:r>
        <w:t>Erwägungen</w:t>
      </w:r>
    </w:p>
    <w:p>
      <w:r>
        <w:rPr>
          <w:b/>
        </w:rPr>
        <w:t>E. 1.1</w:t>
      </w:r>
    </w:p>
    <w:p>
      <w:r>
        <w:t>Le recours en matière de droit public (art. 82 s. LTF) peut être formé pour violation du droit selon l'art. 95 s.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Au regard de la réglementation sur le pouvoir d'examen prévue par la LTF, il convient d'examiner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 Par ailleurs, aucun fait ni preuve nouvelle ne peut être présenté à moins de résulter de la décision de l'autorité précédente ( art. 99 al. 1 LTF ). Le 5 décembre 2007, l'intimé a produit un rapport médical du 30 novembre 2007. Il s'agit d'une preuve nouvelle au sens de l' art. 99 al. 1 LTF qui n'est pas recevable: établie postérieurement au jugement entrepris, elle ne peut par définition "résulter" du jugement entrepris (Meyer, in: M. A. Niggli/P. Uebersax/H. Wiprächtiger [édit.], Bundesgerichtsgesetz, Bâle 2008, ad art. 99 LTF , n. 43 p. 979).</w:t>
      </w:r>
    </w:p>
    <w:p>
      <w:r>
        <w:rPr>
          <w:b/>
        </w:rPr>
        <w:t>E. 1.2</w:t>
      </w:r>
    </w:p>
    <w:p>
      <w:r>
        <w:t>En ce qui concerne l'évaluation de l'invalidité, les principes relatifs au pouvoir d'examen développés dans l' ATF 132 V 393 consid. 3 p. 397 ss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 Dans la mesure cependant où il en va de l'évaluation de l'exigibilité d'une activité professionnelle au regard de l'expérience générale de la vie, il s'agit d'une question de droit qui peut être examinée librement en instance fédérale.</w:t>
      </w:r>
    </w:p>
    <w:p>
      <w:r>
        <w:rPr>
          <w:b/>
        </w:rPr>
        <w:t>E. 2.1</w:t>
      </w:r>
    </w:p>
    <w:p>
      <w:r>
        <w:t>Est réputée incapacité de gain toute diminution de l'ensemble ou d'une partie des possibilités de gain de l'assuré sur le marché du travail équilibré dans son domaine d'activité, si cette diminution résulte d'une atteinte à sa santé physique, mentale ou psychique et qu'elle persiste après les traitements et les mesures de réadaptation exigibles ( art. 7 LPGA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et 28 al. 2 LAI).</w:t>
      </w:r>
    </w:p>
    <w:p>
      <w:r>
        <w:rPr>
          <w:b/>
        </w:rPr>
        <w:t>E. 2.2</w:t>
      </w:r>
    </w:p>
    <w:p>
      <w:r>
        <w:t>Le litige porte sur le droit de l'intimé à une rente de l'assurance-invalidité. Il n'est pas contesté, en l'espèce, que la capacité de travail de l'assuré est limitée à 50% dans son activité habituelle d'agriculteur en raison de problèmes lombaires mais qu'elle est en revanche entière dans une activité adaptée. Est cependant litigieuse la question de savoir si l'on peut encore raisonnablement exiger de l'assuré - au vu de son obligation de diminuer le dommage et des possibilités de gain sur un marché du travail équilibré - qu'il mette en valeur sa capacité de travail résiduelle afin de réaliser un revenu excluant le droit à une rente.</w:t>
      </w:r>
    </w:p>
    <w:p>
      <w:r>
        <w:rPr>
          <w:b/>
        </w:rPr>
        <w:t>E. 3</w:t>
      </w:r>
    </w:p>
    <w:p>
      <w:r>
        <w:t>Les premiers juges ont considéré qu'on ne saurait raisonnablement exiger de l'intimé qu'il abandonnât son activité indépendante et reprît une activité salariée. En effet, à l'époque où la décision litigieuse avait été rendue (en février 2007), l'intimé était âgé de 62 ans. Or, il était irréaliste de penser qu'un employeur fût disposé à engager, trois ans avant sa retraite, une personne ayant diverses limitations fonctionnelles, peu d'expérience professionnelle et n'ayant pas l'habitude de travailler sous les instructions d'un tiers. En outre, le fait d'exiger de l'assuré qu'il abandonnât son activité indépendante apparaissait d'autant moins exigible que la liquidation du domaine agricole ne se ferait pas du jour au lendemain.</w:t>
      </w:r>
    </w:p>
    <w:p>
      <w:r>
        <w:rPr>
          <w:b/>
        </w:rPr>
        <w:t>E. 4</w:t>
      </w:r>
    </w:p>
    <w:p>
      <w:r>
        <w:t>L'office recourant soutient pour sa part qu'il est insoutenable de conclure que l'assuré ne fût plus en mesure de reprendre une activité adaptée à son état de santé six ans avant l'âge de la retraite, d'autant moins que sur le plan médical, l'assuré disposait d'une capacité de travail entière dans toute activité adaptée. Il ajoute que pour examiner l'exigibilité de la reprise d'une activité adaptée, il y a lieu de se placer au moment de la naissance du droit à la rente et non au moment de la décision litigieuse comme l'ont fait à tort les premiers juges.</w:t>
      </w:r>
    </w:p>
    <w:p>
      <w:r>
        <w:rPr>
          <w:b/>
        </w:rPr>
        <w:t>E. 5.1</w:t>
      </w:r>
    </w:p>
    <w:p>
      <w:r>
        <w:t>Lorsqu'il s'agit d'examiner dans quelle mesure un assuré peut encore exploiter économiquement sa capacité de gain résiduelle sur le marché du travail entrant en considération pour lui ( art. 16 LPGA ),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consid. 3b et les références).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246 consid. 1 et les références).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I 819/04 du 27 mai 2005, consid. 2.2; I 462/02 du 26 mai 2003, consid. 2.3; I 617/02 du 10 mars 2003, consid. 3.1; I 401/01 du 4 avril 2002, consid. 4c).</w:t>
      </w:r>
    </w:p>
    <w:p>
      <w:r>
        <w:rPr>
          <w:b/>
        </w:rPr>
        <w:t>E. 5.2</w:t>
      </w:r>
    </w:p>
    <w:p>
      <w:r>
        <w:t>En l'espèce, au moment de la naissance du droit à la rente - auquel il y a lieu de se placer pour déterminer l'exigibilité d'un changement d'activité comme le relève à juste titre l'office recourant (cf. arrêts S. du 14 juin 2005 consid. 2.3, I 761/04 et K. du 17 août 2004 consid. 3.3.1, I 643/03) - l'intimé était âgé de près de 60 ans, soit un seuil à partir duquel on peut parler d'âge avancé (cf. l'arrêt D. du 12 juin 1997, U 218/96). Comme le relève la juridiction cantonale, l'intimé n'a aucune expérience professionnelle dans un autre domaine économique que ceux dans lesquels il a travaillé pendant plus de quarante ans, à savoir en tant que menuisier puis agriculteur. En particulier, il a toujours travaillé en qualité d'indépendant, de sorte que la reprise d'une activité salariée nécessiterait un important effort d'adaptation de sa part. Compte tenu du contexte personnel et professionnel, il paraît difficile d'exiger que l'intimé abandonne son activité indépendante pour se lancer dans une recherche hasardeuse d'un emploi adapté à ses limitations fonctionnelles, d'autant plus que de tels postes sont très prisés par de plus jeunes assurés ayant également des limitations fonctionnelles. On peine en effet à imaginer qu'un employeur eût consenti à engager l'intimé, eu égard à l'âge de celui-ci et au temps nécessaire qu'il lui aurait fallu pour s'adapter à un emploi d'emblée limité dans le temps. Aussi, en retenant qu'il n'était pas exigible, dans le cas d'espèce, que l'assuré abandonnât son activité indépendante avec tout ce que cela eût impliqué pour reprendre une activité salariée, la juridiction cantonale n'a pas procédé à une appréciation insoutenable des circonstances. Son argumentation échappe par conséquent au grief de violation du droit fédéral.</w:t>
      </w:r>
    </w:p>
    <w:p>
      <w:r>
        <w:rPr>
          <w:b/>
        </w:rPr>
        <w:t>E. 6</w:t>
      </w:r>
    </w:p>
    <w:p>
      <w:r>
        <w:t>En ce qui concerne le calcul proprement dit du taux d'invalidité de l'intimé, la comparaison des revenus selon la méthode extraordinaire à laquelle a procédé la juridiction cantonale n'est pas contestée ni contestable. Aussi, le jugement entrepris est conforme au droit fédéral de ce point de vue également et le recours se révèle mal fondé.</w:t>
      </w:r>
    </w:p>
    <w:p>
      <w:r>
        <w:rPr>
          <w:b/>
        </w:rPr>
        <w:t>E. 7</w:t>
      </w:r>
    </w:p>
    <w:p>
      <w:r>
        <w:t>Compte tenu de l'issue du litige, les frais de justice doivent être supportés par le recourant qui succombe (art. 66 al. 1 première phrase LTF en relation avec l' art. 65 al. 4 let. a LTF ). L'intimé a droit à une indemnité de dépens pour l'instance fédérale, à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