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609/2019 vom 15. Oktober 2019</w:t>
      </w:r>
    </w:p>
    <w:p>
      <w:r>
        <w:t>Bundesgericht, 2019-10-15, FR</w:t>
      </w:r>
    </w:p>
    <w:p>
      <w:r>
        <w:rPr>
          <w:b/>
        </w:rPr>
        <w:t xml:space="preserve">Quelle: </w:t>
      </w:r>
      <w:r>
        <w:t>https://mcp.opencaselaw.ch/entscheid/bger_9C_609_2019</w:t>
      </w:r>
    </w:p>
    <w:p>
      <w:r>
        <w:t>FR: TF 9C 609/2019 du 15 octobre 2019</w:t>
      </w:r>
    </w:p>
    <w:p>
      <w:r>
        <w:t>IT: TF 9C 609/2019 del 15 ottobre 2019</w:t>
      </w:r>
    </w:p>
    <w:p>
      <w:pPr>
        <w:pStyle w:val="Heading2"/>
      </w:pPr>
      <w:r>
        <w:t>Regeste</w:t>
      </w:r>
    </w:p>
    <w:p>
      <w:r>
        <w:t>Assurance-invalidité | Assurance-invalidité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Tribunal fédéral examine d'office la recevabilité des recours qui lui sont soumis ( ATF 141 II 113 consid. 1 p. 116; 141 III 395 consid. 2.1 p. 397).</w:t>
      </w:r>
    </w:p>
    <w:p>
      <w:r>
        <w:rPr>
          <w:b/>
        </w:rPr>
        <w:t>E. 2</w:t>
      </w:r>
    </w:p>
    <w:p>
      <w:r>
        <w:t>Selon l' art. 42 al. 1 LTF , les mémoires doivent être rédigés dans une langue officielle, indiquer les conclusions, les motifs et les moyens de preuve, et être signés. D'après l' art. 99 al. 2 LTF , toute conclusion nouvelle est irrecevable.</w:t>
      </w:r>
    </w:p>
    <w:p>
      <w:r>
        <w:rPr>
          <w:b/>
        </w:rPr>
        <w:t>E. 3</w:t>
      </w:r>
    </w:p>
    <w:p>
      <w:r>
        <w:t>Le jugement attaqué, qui entérine le refus de l'office intimé d'entrer en matière sur la nouvelle demande de prestations, procède de l'application de l' art. 87 al. 2 et 3 RAI . Même si le recourant ne cite pas cette disposition réglementaire, on comprend qu'il conteste le bien-fondé de ce refus en invoquant divers avis médicaux relatifs à l'évolution de son état de santé. Toutefois, il ne requiert désormais plus le renvoi de la cause à l'office intimé pour examen de la nouvelle demande ainsi qu'il l'avait fait en première instance, ce point constituant le seul objet de la contestation qui pouvait être soumis à l'examen de la Cour de céans. Devant le Tribunal fédéral, le recourant conclut uniquement à l'octroi d'une rente entière d'invalidité, au motif que son état de santé se serait aggravé et qu'il serait maintenant entièrement invalide ( art. 4 et 28 LAI ). Cette conclusion est nouvelle et, partant, irrecevable ( art. 99 al. 2 LTF ). Dès lors que le recours ne répond pas aux exigences de l' art. 42 al. 1 LTF , il n'y a pas lieu d'entrer en matière sur celui-ci, le cas étant liquidé selon la procédure simplifiée de l' art. 108 al. 1 let. a LTF .</w:t>
      </w:r>
    </w:p>
    <w:p>
      <w:r>
        <w:rPr>
          <w:b/>
        </w:rPr>
        <w:t>E. 4</w:t>
      </w:r>
    </w:p>
    <w:p>
      <w:r>
        <w:t>Comme la seule conclusion du recours était manifestement irrecevable et donc vouée à l'échec, la requête d'assistance judiciaire doit être rejetée, également en procédure simplifiée (art. 64 al. 1, et al. 2, 2 e phrase, LTF).</w:t>
      </w:r>
    </w:p>
    <w:p>
      <w:r>
        <w:rPr>
          <w:b/>
        </w:rPr>
        <w:t>E. 5</w:t>
      </w:r>
    </w:p>
    <w:p>
      <w:r>
        <w:t>Le recourant, qui succombe, supportera les frais de la procédure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