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608/2014 vom 19. Dezember 2014</w:t>
      </w:r>
    </w:p>
    <w:p>
      <w:r>
        <w:t>Bundesgericht, 2014-12-19, FR</w:t>
      </w:r>
    </w:p>
    <w:p>
      <w:r>
        <w:rPr>
          <w:b/>
        </w:rPr>
        <w:t xml:space="preserve">Quelle: </w:t>
      </w:r>
      <w:r>
        <w:t>https://mcp.opencaselaw.ch/entscheid/bger_9C_608_2014</w:t>
      </w:r>
    </w:p>
    <w:p>
      <w:r>
        <w:t>FR: TF 9C 608/2014 du 19 décembre 2014</w:t>
      </w:r>
    </w:p>
    <w:p>
      <w:r>
        <w:t>IT: TF 9C 608/2014 del 19 dicembre 2014</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porte sur la validité de l'obligation faite à la recourante d'exiger de C.________ le remboursement immédiat du montant qu'elle a versé au moyen de ses fonds libres, dans le cadre du plan social de B.________ SA, pour financer des indemnités de départ et des retraites anticipées. Le fait que seuls les ouvriers et retraités de l'usine A.________ puissent bénéficier des prestations de la recourante n'est plus contesté.</w:t>
      </w:r>
    </w:p>
    <w:p>
      <w:r>
        <w:rPr>
          <w:b/>
        </w:rPr>
        <w:t>E. 3</w:t>
      </w:r>
    </w:p>
    <w:p>
      <w:r>
        <w:t>Le Tribunal administratif fédéral a invalidé la substitution de débiteur décidée unilatéralement par la recourante car elle porte atteinte aux intérêts futurs des travailleurs et des rentiers. En ce qui concerne les bénéficiaires potentiels de prestations de la recourante, les premiers juges ont admis qu'il ne pouvait s'agir que des ouvriers et retraités de l'usine A.________. Ils ont également nié que le montant de 325'150 fr., dont la recourante a allégué qu'il s'agissait de prestations de prévoyance stricto sensu, puisse faire l'objet d'un versement de la part de la recourante, faute d'existence d'une clause de porte-fort ou de débiteur solidaire valablement introduite dans le plan social. Ainsi, le Tribunal administratif fédéral a confirmé l'obligation faite par l'intimée à la recourante d'exiger la restitution du montant versé dans le cadre du plan social par 1'673'420 fr. 30, dont à déduire 250'000 fr. s'il était établi que ce montant avait déjà été remboursé.</w:t>
      </w:r>
    </w:p>
    <w:p>
      <w:r>
        <w:rPr>
          <w:b/>
        </w:rPr>
        <w:t>E. 4</w:t>
      </w:r>
    </w:p>
    <w:p>
      <w:r>
        <w:t>La recourante reproche au Tribunal administratif fédéral d'avoir constaté les faits de manière manifestement erronée en ayant admis qu'elle avait payé des prestations découlant du droit du travail en lieu et place de l'employeur. Elle soutient qu'elle a payé des prestations résultant du plan social et de cas de rigueur nées à la suite de la restructuration de C.________. La recourante considère qu'elle était en droit de payer des indemnités de départ et de retraites anticipées, car cela faisait partie de ses buts statutaires. En admettant le contraire, l'intimée a appliqué l' art. 84 al. 2 CC de manière erronée et fait abstraction du pouvoir d'appréciation accordé au conseil de fondation.</w:t>
      </w:r>
    </w:p>
    <w:p>
      <w:r>
        <w:rPr>
          <w:b/>
        </w:rPr>
        <w:t>E. 5</w:t>
      </w:r>
    </w:p>
    <w:p>
      <w:r>
        <w:t>La question de savoir si et à quelles conditions la recourante pouvait prendre en charge des prestations que l'employeur s'était engagé à payer dans le cadre d'un plan social, peut être laissée ouverte au vu de ce qui suit (consid. 6).</w:t>
      </w:r>
    </w:p>
    <w:p>
      <w:r>
        <w:rPr>
          <w:b/>
        </w:rPr>
        <w:t>E. 6.1</w:t>
      </w:r>
    </w:p>
    <w:p>
      <w:r>
        <w:t>Les buts de la prévoyance professionnelle sont définis à l' art. 1 LPP comme l'ensemble des mesures prises sur une base collective pour permettre aux personnes âgées, aux survivants et aux invalides de maintenir, conjointement avec l'AVS, leur niveau de vie de manière appropriée lors de la réalisation d'un cas d'assurance vieillesse, décès ou invalidité. Certaines mesures, prévues dans un plan social et destinées à alléger les conséquences d'un licenciement, peuvent être considérées comme servant à l'exécution des obligations de l'employeur liées à la prévoyance professionnelle ( HERMANN WALSER, SBVR, 2 e éd., n. 106 p. 2120). Une telle manière de procéder ne doit cependant pas permettre à l'employeur de récupérer l'argent de la fondation (arrêt 2A.224/1997 du 27 août 1998, consid. 3b publié in RSAS 1999 p. 324; HANS-ULRICH Stauffer, Die berufliche Vorsorge BVG/FZG/ZGB/OR/FusG/ZPO, 3eed. 2013, n. 7 ad art. 53d al. 4 LPP ). Le fait qu'une fondation bénéficie d'une exonération d'impôt conformément à l' art. 80 al. 2 LPP lui impose de limiter ses buts statutaires à la prévoyance professionnelle à l'exclusion de toutes autres fins (cf. ATF 138 V 346 consid. 5.5.2 p. 361).</w:t>
      </w:r>
    </w:p>
    <w:p>
      <w:r>
        <w:rPr>
          <w:b/>
        </w:rPr>
        <w:t>E. 6.2</w:t>
      </w:r>
    </w:p>
    <w:p>
      <w:r>
        <w:t>L'art. 3.1 des statuts précise que la recourante a pour but la prévoyance professionnelle des salariés et des retraités de la société fondatrice, respectivement de l'employeur, et qu'elle fournit, en particulier, des prestations et des secours au salarié et au retraité en cas de vieillesse, d'invalidité ou s'il est dans une situation de nécessité telle que maladie, accident ou chômage (let. a). L'art. 4.3 des statuts prévoit que la fortune de la fondation ne peut servir qu'à fournir des prestations ayant pour but la prévoyance; elle ne saurait être utilisée pour le versement de prestations auxquelles l'employeur est tenu légalement ou qui sont habituellement dues en contrepartie de services rendus (p. ex. allocations de renchérissement, allocations familiales ou pour enfants, gratifications, etc.). Aucune contribution n'est perçue de la part des salariés (art. 4.5 des statuts). Ainsi que le Tribunal administratif fédéral l'a retenu, la recourante est une fondation qui accorde des prestations discrétionnaires, c'est-à-dire des prestations auxquelles les bénéficiaires n'ont aucun droit.</w:t>
      </w:r>
    </w:p>
    <w:p>
      <w:r>
        <w:rPr>
          <w:b/>
        </w:rPr>
        <w:t>E. 6.3</w:t>
      </w:r>
    </w:p>
    <w:p>
      <w:r>
        <w:t>En l'espèce, le conseil de fondation de la recourante a décidé de financer au moyen de ses fonds libres des " zusätzlichen, nicht arbeitsvertraglichen Leistungen" pour environ deux millions de francs (décision du 18 juillet 2007). Ce montant était destiné à payer des indemnités de départ (art. B13 du plan social), des indemnités de déménagement (art. B4 du plan social) et le financement de retraites anticipées (art. C1 du plan social). La recourante a admis avoir versé à C.________ un montant de 1'894'154 fr. pour financer des indemnités de départ (art. B13), des versements uniques pour préretraites (art. C1) et des prestations supplémentaires pour les cas de rigueur et les cas sociaux (art. B14). Dans le montant versé, une somme de 2'834 fr. a servi à payer des cotisations AVS en cas de retraite anticipée. L'intimée a admis que cette somme avait bien servi à des buts de prévoyance professionnelle et a renoncé à en exiger le remboursement par l'employeur. C'est ainsi un montant de 1'891'320 fr. dont elle a exigé la restitution. La décision du 18 juillet 2007 du conseil de fondation est basée sur un plan social chiffré, qui prévoit la prise en charge d'indemnités de départ, d'indemnités de retraites anticipées, de primes d'ancienneté, de cotisations AVS (qui ne sont plus l'objet du litige) et d'indemnités de déménagement. Les indemnités de départ ont été octroyées à tous les employés licenciés selon des critères d'âge et d'ancienneté sans qu'il soit possible de savoir s'il existait un but de prévoyance professionnelle et, le cas échéant, lequel. Les indemnités pour retraite anticipée ont été versées sous une forme inconnue à des salariés dont on ne connaît pas l'âge. De plus, le plan social chiffré ne permet pas de dire si les bénéficiaires ont pris ou non une retraite anticipée (cf. la rubrique "remarques" du plan social chiffré). Par ailleurs, il n'est fait état d'aucun versement de prestations supplémentaires pour les cas de rigueur et les cas sociaux.</w:t>
      </w:r>
    </w:p>
    <w:p>
      <w:r>
        <w:rPr>
          <w:b/>
        </w:rPr>
        <w:t>E. 6.4</w:t>
      </w:r>
    </w:p>
    <w:p>
      <w:r>
        <w:t>La recourante s'est limitée à se référer aux chiffres du plan social sans dire à quoi ces montants avaient servi et à quelles conditions ils avaient été octroyés. Ainsi, elle n'a pas prouvé ni même rendu vraisemblable que ces différents versements avaient un but de prévoyance professionnelle. Dans ces circonstances, le Tribunal administratif fédéral pouvait, sans violer le droit fédéral et sans arbitraire, confirmer l'obligation faite à la recourante d'exiger la restitution du montant de 1'891'320 fr. de la part de l'employeur. Le recours est dès lors infondé.</w:t>
      </w:r>
    </w:p>
    <w:p>
      <w:r>
        <w:rPr>
          <w:b/>
        </w:rPr>
        <w:t>E. 7</w:t>
      </w:r>
    </w:p>
    <w:p>
      <w:r>
        <w:t>La recourante, qui succombe, supporte les frais de la procédure (art. 65 al. 3 let. b, 66 al. 1 LTF; ch. 1 du Tarif des émoluments judiciaires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