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9C_607/2008 vom 27. April 2009</w:t>
      </w:r>
    </w:p>
    <w:p>
      <w:r>
        <w:t>Bundesgericht, 2009-04-27, FR</w:t>
      </w:r>
    </w:p>
    <w:p>
      <w:r>
        <w:rPr>
          <w:b/>
        </w:rPr>
        <w:t xml:space="preserve">Quelle: </w:t>
      </w:r>
      <w:r>
        <w:t>https://mcp.opencaselaw.ch/entscheid/bger_9C_607_2008</w:t>
      </w:r>
    </w:p>
    <w:p>
      <w:r>
        <w:t>FR: TF 9C_607/2008 du 27 avril 2009</w:t>
      </w:r>
    </w:p>
    <w:p>
      <w:r>
        <w:t>IT: TF 9C_607/2008 del 27 aprile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 l'appui de son recours, la recourante allègue que le rapport établi par le SMR n'était pas susceptible de remettre en cause le contenu des deux expertises établies par les docteurs O.________ et K.________ en raison de la valeur probante moindre de ce document. Dans la mesure où un examen complémentaire s'avérait nécessaire, l'OCAI ne pouvait requérir qu'un moyen de preuve de degré égal, à savoir une expertise.</w:t>
      </w:r>
    </w:p>
    <w:p>
      <w:r>
        <w:rPr>
          <w:b/>
        </w:rPr>
        <w:t>E. 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3.2</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 ATF 125 V 351 consid. 3b p. 352),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(arrêts 9C_885/2007 du 15 septembre 2008 consid. 3.2 et 9C_773/2007 du 23 juin 2008 consid. 5.2).</w:t>
      </w:r>
    </w:p>
    <w:p>
      <w:r>
        <w:rPr>
          <w:b/>
        </w:rPr>
        <w:t>E. 4</w:t>
      </w:r>
    </w:p>
    <w:p>
      <w:r>
        <w:t>En tant que les critiques de la recourante ne portent que sur la valeur probante du rapport établi par le SMR, celles-ci se révèlent vaines. Aussi bien les rapports des docteurs O.________ et K.________ que celui du SMR répondent aux critères formels dégagés par la jurisprudence. Ils contiennent tous les trois une anamnèse complète et un condensé des renseignements tirés du dossier; ils font état des indications subjectives délivrées par la recourante ainsi que du résultat des observations faites au cours des examens cliniques; ils s'achèvent pour finir par une discussion exhaustive de l'ensemble des renseignements recueillis et une appréciation motivée de la capacité résiduelle de travail. Le choix de privilégier l'avis du SMR au détriment de l'avis des docteurs O.________ et K.________ relève par conséquent de la libre appréciation de l'autorité de première instance. Compte tenu de son pouvoir d'examen restreint (cf. supra consid. 1), il n'appartient pas au Tribunal fédéral de procéder une nouvelle fois à l'appréciation des preuves administrées, mais à la partie recourante d'établir en quoi celle opérée par l'autorité cantonale serait manifestement inexacte ou incomplète. Or, en l'occurrence, la recourante ne tente nullement d'établir, au moyen d'une argumentation circonstanciée, que le contenu du rapport établi par le SMR serait critiquable ou que les expertises réalisées par les docteurs O.________ et K.________ seraient plus convaincantes. Faute de griefs motivés, il n'y a pas lieu de remettre en cause le résultat de l'appréciation des preuves opérée par le Tribunal administratif fédéral.</w:t>
      </w:r>
    </w:p>
    <w:p>
      <w:r>
        <w:rPr>
          <w:b/>
        </w:rPr>
        <w:t>E. 5</w:t>
      </w:r>
    </w:p>
    <w:p>
      <w:r>
        <w:t>Mal fondé, le recours doit être rejeté. Les frais afférents à la présente procédure seront supportés par la recourante qui succombe ( art. 66 al. 1 LTF ). Elle a cependant déposé une demande d'assistance judiciaire. Etant donné qu'elle en remplit les conditions ( art. 64 al. 1 LTF ), il y a lieu de lui accorder l'assistance judiciaire et de la dispenser du paiement des frais judiciaires. Elle est toutefois rendue attentive au fait qu'elle devra rembourser la caisse du Tribunal, si elle retrouve ultérieurement une situation financière lui permettant de le faire ( art. 64 al. 4 LTF ). En revanche, elle ne saurait prétendre à une indemnité de dépens versée par la caisse du Tribunal, puisqu'elle n'est pas représentée par un avocat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