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606/2020 vom 6. September 2021</w:t>
      </w:r>
    </w:p>
    <w:p>
      <w:r>
        <w:t>Bundesgericht, 2021-09-06, FR</w:t>
      </w:r>
    </w:p>
    <w:p>
      <w:r>
        <w:rPr>
          <w:b/>
        </w:rPr>
        <w:t xml:space="preserve">Quelle: </w:t>
      </w:r>
      <w:r>
        <w:t>https://mcp.opencaselaw.ch/entscheid/bger_9C_606_2020</w:t>
      </w:r>
    </w:p>
    <w:p>
      <w:r>
        <w:t>FR: TF 9C 606/2020 du 6 septembre 2021</w:t>
      </w:r>
    </w:p>
    <w:p>
      <w:r>
        <w:t>IT: TF 9C 606/2020 del 6 settembre 2021</w:t>
      </w:r>
    </w:p>
    <w:p>
      <w:pPr>
        <w:pStyle w:val="Heading2"/>
      </w:pPr>
      <w:r>
        <w:t>Regeste</w:t>
      </w:r>
    </w:p>
    <w:p>
      <w:r>
        <w:t>Prestation complémentaire à l'AVS/AI (calcul) | Prestations complémentaires à l'AVS/AI</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litige porte sur le droit de la recourante à des prestations complémentaires pour la période courant du 1er décembre 2017 au 31 juillet 2018, singulièrement sur le point de savoir si la juridiction cantonale étaient fondée à nier ce droit au motif qu'un loyer partagé devait être pris en compte pour la période en question.</w:t>
      </w:r>
    </w:p>
    <w:p>
      <w:r>
        <w:rPr>
          <w:b/>
        </w:rPr>
        <w:t>E. 3</w:t>
      </w:r>
    </w:p>
    <w:p>
      <w:r>
        <w:t>L'acte attaqué cite les normes indispensables à la résolution du litige, plus particulièrement celles concernant la détermination des dépenses reconnues, notamment du loyer ( art. 10 al. 1 let. b LPC dans sa teneur en vigueur jusqu'au 31 décembre 2020; art. 16c OPC-AVS/AI ), et le devoir d'informer ( art. 24 OPC-AVS/AI ). Il expose également les dispositions légales et les principes jurisprudentiels relatifs à la maxime inquisitoire ( art. 43 et 61 let . c LPGA), au devoir des parties de collaborer à l'établissement des faits ( ATF 125 V 193 consid. 2), au fardeau de la preuve ( ATF 124 V 372 consid. 3; 117 V 261 consid. 3b), au degré de vraisemblance auquel les faits doivent être établis en matière d'assurances sociales ( ATF 126 V 253 consid. 5b) et à l'appréciation anticipée des preuves ( ATF 140 I 285 consid. 6.3.1). Il suffit d'y renvoyer.</w:t>
      </w:r>
    </w:p>
    <w:p>
      <w:r>
        <w:rPr>
          <w:b/>
        </w:rPr>
        <w:t>E. 4</w:t>
      </w:r>
    </w:p>
    <w:p>
      <w:r>
        <w:t>Le tribunal cantonal a entériné le rejet de la demande de réexamen du droit aux prestations complémentaires pour la période du 1er décembre 2017 au 31 juillet 2018. Il a relevé que les données communiquées par l'OCPM - se fondant sur les indications du fils de l'assurée et attestant la domiciliation de ce dernier au domicile de sa mère entre les mois de juin 2015 et juillet 2018 - avaient créé une présomption qui justifiait de prendre en compte un loyer réduit de moitié dans le calcul du droit aux prestations. Il a en substance considéré que les explications et les documents fournis par la recourante au cours de la procédure, dont les photocopies du passeport (périmé en novembre 2017) qui avait appartenu à son fils, n'avaient pas permis de renverser la présomption de cohabitation au cours de la période encore litigieuse céans.</w:t>
      </w:r>
    </w:p>
    <w:p>
      <w:r>
        <w:rPr>
          <w:b/>
        </w:rPr>
        <w:t>E. 5</w:t>
      </w:r>
    </w:p>
    <w:p>
      <w:r>
        <w:t>L'assurée conteste avoir cohabité avec son fils à quelque moment que ce soit depuis le 1er juin 2015. Elle explique que celui-ci était retourné vivre à l'étranger en 2011 et que, depuis cette époque, il n'était revenu en Suisse qu'épisodiquement pour de brefs séjours pendant lesquels il logeait principalement chez son amie. Elle admet que son fils s'était domicilié chez elle, pour son courrier, mais soutient en particulier que les photocopies du passeport déposées en première instance démontrent l'absence de cohabitation. Elle fait aussi grief aux premiers juges de s'être livrés à des investigations sur Facebook pour déterminer le domicile de son fils, sans lui avoir donné la possibilité de se prononcer sur le procédé. Elle reproche également aux autorités précédentes d'avoir contrevenu à la maxime inquisitoire en refusant un transport sur place afin de vérifier que son fils ne possédait pas d'affaires dans son appartement ou que ce logement était impropre à une cohabitation, ainsi qu'elle l'avait proposé à plusieurs reprises. Dès lors que son fils n'avait pas habité chez elle, elle soutient que les prestations complémentaires dues pour la période du 1er décembre 2017 au 31 juillet 2018 doivent être recalculées en tenant compte de l'entier de son loyer.</w:t>
      </w:r>
    </w:p>
    <w:p>
      <w:r>
        <w:rPr>
          <w:b/>
        </w:rPr>
        <w:t>E. 6.1</w:t>
      </w:r>
    </w:p>
    <w:p>
      <w:r>
        <w:t>Les conclusions des premiers juges reposent sur les données de l'OCPM attestant la domiciliation du fils à l'adresse de sa mère entre le 1er juin 2015 et le 31 juillet 2018. Ces données se fondent elles-mêmes sur les déclarations de la recourante et de son fils. Elles ne constituent en soi pas une preuve de la cohabitation effective de la mère et du fils au cours de la période considérée mais un indice (cf. arrêt du Tribunal fédéral des assurances P 23/91 du 23 novembre 1991 consid. 3c) qui peut être infirmé en rapportant la preuve contraire selon les règles qui s'appliquent dans le domaine des assurances sociales. Les allégations de l'assurée à cet égard (selon lesquelles son fils vivrait à l'étranger depuis 2011 et ne reviendrait en Suisse qu'épisodiquement pour de brefs séjours pendant lesquels il logerait principalement chez des amis) ne rendent toutefois pas hautement vraisemblable l'absence de cohabitation déterminante du point de vue du droit aux prestations complémentaires. Elles ne reposent effectivement sur aucun document probant ainsi que l'a constaté la juridiction cantonale. La lettre du fils (du 12 août 2018) indiquant à l'OCPM qu'il avait séjourné chez sa mère en 2015 mais ne plus y résider depuis fin 2015 ne contient que des allégations. Or celles-ci sont d'une part en contradiction avec les déclarations faites par la recourante lors de son audition du 20 juin 2019 (selon lesquelles son fils n'avait jamais habité chez elle) et, d'autre part, ne peuvent pas être corroborées par des photocopies d'un passeport qui était arrivé à expiration le 8 novembre 2017, soit antérieurement à la période litigieuse. Dans ces circonstances, il n'était pas arbitraire de la part du tribunal cantonal de retenir une cohabitation déterminante au regard du droit aux prestations complémentaires justifiant de tenir compte d'un loyer partagé dans le calcul des prestations complémentaires portant sur la période encore litigieuse.</w:t>
      </w:r>
    </w:p>
    <w:p>
      <w:r>
        <w:rPr>
          <w:b/>
        </w:rPr>
        <w:t>E. 6.2</w:t>
      </w:r>
    </w:p>
    <w:p>
      <w:r>
        <w:t>On ajoutera finalement que l'invocation d'une violation de son droit d'être entendue (en relation avec l'arbitraire) du fait que la juridiction cantonale s'était livrée à des investigations sur Facebook pour déterminer le domicile de son fils, ou de la maxime inquisitoire, en lien avec le fait que tant les premiers juges que le service intimé n'avaient pas donné suite à son offre de transport sur place, n'est d'aucune utilité à la recourante. Peu importe en l'occurrence la pertinence des données reprises sur Facebook dans la mesure où les autres éléments disponibles suffisaient déjà pour emporter la conviction des juges cantonaux. Peu importe également que les autorités compétentes n'aient pas procédé à une enquête au domicile de l'assurée pour vérifier notamment si la taille de l'appartement était propre à une cohabitation dès lors que, dans ses déclarations à l'OCPM, le fils de la recourante a admis y avoir résidé. De surcroît, un juge peut renoncer à l'administration de certaines preuves offertes, notamment lorsqu'elles ne sont pas décisives pour la solution du litige (cf. ATF 104 I 285 consid. 6.3.1).</w:t>
      </w:r>
    </w:p>
    <w:p>
      <w:r>
        <w:rPr>
          <w:b/>
        </w:rPr>
        <w:t>E. 6.3</w:t>
      </w:r>
    </w:p>
    <w:p>
      <w:r>
        <w:t>Entièrement mal fondé, le recours doit donc être rejeté.</w:t>
      </w:r>
    </w:p>
    <w:p>
      <w:r>
        <w:rPr>
          <w:b/>
        </w:rPr>
        <w:t>E. 7</w:t>
      </w:r>
    </w:p>
    <w:p>
      <w:r>
        <w:t>Vu l'issue du litige, les frais judiciaires sont à la charge de l'assurée ( art. 66 al. 1 LTF ). Elle a toutefois déposé une demande d'assistance judiciaire. Dès lors que les conditions en sont réalisées ( art. 64 al. 1 et 2 LTF ), l'assistance judiciaire lui est accordée. Les honoraires de son avocat sont fixés à 1800 fr. dans cette procédure, pour tenir compte du fait qu'elle a déposé un seul mémoire de recours qui a été enregistré sous deux numéros de causes séparés en instance fédérale (cf. art. 8 et 10 du Règlement sur les dépens alloués à la partie adverse et sur l'indemnité pour la représentation d'office dans les causes portées devant le Tribunal fédéral [RS 173.110.210.3]). La recourante est par ailleurs rendue attentive au fait qu'elle devra rembourser la caisse du Tribunal fédéral si elle retrouve ultérieurement une situation financière lui permettant de le faire ( art. 64 al. 4 LTF ). Le service intimé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