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9C_606/2017 vom 14. März 2018</w:t>
      </w:r>
    </w:p>
    <w:p>
      <w:r>
        <w:t>Bundesgericht, 2018-03-14, FR</w:t>
      </w:r>
    </w:p>
    <w:p>
      <w:r>
        <w:rPr>
          <w:b/>
        </w:rPr>
        <w:t xml:space="preserve">Quelle: </w:t>
      </w:r>
      <w:r>
        <w:t>https://mcp.opencaselaw.ch/entscheid/bger_9C_606_2017</w:t>
      </w:r>
    </w:p>
    <w:p>
      <w:r>
        <w:t>FR: TF 9C_606/2017 du 14 mars 2018</w:t>
      </w:r>
    </w:p>
    <w:p>
      <w:r>
        <w:t>IT: TF 9C_606/2017 del 14 marzo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l'espèce dans le contexte du droit de l'intimé à une rente d'invalidité de la prévoyance professionnelle. Il ressort des conclusions du recours interjeté par l'institution de prévoyance que celle-ci admet devoir verser seulement les prestations de la prévoyance obligatoire, soit une demi-rente depuis le 1er octobre 2010 puis une rente entière dès le 1er août 2012. Elle conteste en revanche - de manière implicite - devoir s'acquitter des prestations de la prévoyance plus étendue.</w:t>
      </w:r>
    </w:p>
    <w:p>
      <w:r>
        <w:rPr>
          <w:b/>
        </w:rPr>
        <w:t>E. 3.1</w:t>
      </w:r>
    </w:p>
    <w:p>
      <w:r>
        <w:t>En premier lieu, l'institution de prévoyance recourante ne conteste pas que l'intimé était assuré par elle lorsque l'incapacité de travail dont la cause est à l'origine de l'invalidité s'est produite. Désormais, elle fait uniquement grief à la juridiction cantonale d'avoir indûment retenu que l'assuré n'avait commis aucune réticence à la signature de la demande d'admission à l'assurance, dans la mesure où sa réponse négative à la question de savoir s'il "[avait] dû interrompre [son] travail lors des trois dernières années pour raisons de santé durant plus de deux semaines complètement ou partiellement" reflétait la réalité et où il appartenait à l'Allianz de poser des questions précises si elle voulait être renseignée sur l'existence d'atteintes à la santé et de traitements médicamenteux, de façon générale. L'institution de prévoyance recourante prétend qu'en présence d'une disposition réglementaire sur la réticence, le tribunal cantonal ne pouvait pas appliquer les principes jurisprudentiels issus de l'art. 4 de la Loi fédérale du 2 avril 1908 sur le contrat d'assurance (LCA; RS 221.229.1) et qu'au regard de l'évolution de l'état de santé, l'intimé ne pouvait taire l'hospitalisation de 2008, qui était un fait déterminant pour apprécier le risque ainsi que l'opportunité d'émettre une réserve pour raison de santé. Il prétend également avoir respecté les délais réglementaires pour faire valoir une réticence et se départir du devoir de prester en matière de prévoyance sur-obligatoire.</w:t>
      </w:r>
    </w:p>
    <w:p>
      <w:r>
        <w:rPr>
          <w:b/>
        </w:rPr>
        <w:t>E. 3.2</w:t>
      </w:r>
    </w:p>
    <w:p>
      <w:r>
        <w:t>Cette argumentation n'est pas fondée. On relèvera d'abord que s'il est correct que, comme l'allègue l'institution de prévoyance recourante, la jurisprudence lui permet de se départir du contrat de prévoyance sur la base de ses propres dispositions réglementaires, plutôt qu'en appliquant les art. 4 ss LCA , par analogie (cf. ATF 130 V 9 consid. 4-5 p. 13 ss; voir aussi arrêt 9C_532/2014 du 23 octobre 2014 consid. 3.1, in: SVR 2015 BVG n° 34 p. 124), il n'en demeure toutefois pas moins que l'art. 3.3 al. 2 du règlement de prévoyance reprend, sur le fond, les principes déjà développés par la jurisprudence à partir des art. 4 ss LCA .</w:t>
      </w:r>
    </w:p>
    <w:p>
      <w:r>
        <w:t>En effet, la disposition réglementaire évoquée impose à "[l]a personne assurée [...] de répondre de façon complète et conforme à la vérité aux questions contenues dans le formulaire d'admission" et permet à l'Allianz de, notamment, résilier tout ou partie du contrat d'assurance ou refuser tout ou partie des prestations lorsque "la personne assurée donne une réponse fausse aux questions et omet de déclarer des faits déterminants [...]". Or, selon la jurisprudence sur la réticence citée par les premiers juges, le preneur d'assurance est tenu de répondre de manière véridique aux questions (qui doivent être formulées par écrit de façon précise et non-équivoque) telles qu'il peut les comprendre de bonne foi (cf. ATF 136 III 334 consid. 2.3 p. 336 s.) mais n'a pas à évoquer de faits au sujet desquels il n'est pas interrogé (cf. ATF 134 III 511 consid. 3.2 p. 513 s.). Tel est bel et bien ce qui est arrivé en l'espèce, comme l'a du reste constaté la juridiction cantonale (voir consid. 11c du jugement entrepris). L'intimé a répondu par la négative sur le point de savoir si au cours des trois ans précédant la signature du contrat, il avait subi une incapacité de travail de plus de deux semaines. Compte tenu de la précision de la question et de son caractère non-équivoque, dans la mesure où il est expressément fait référence à une interruption de travail, ainsi que de l'absence de tout rapport médical attestant une telle interruption pendant que l'assuré exerçait comme comptable pour le compte de différents employeurs, on ne saurait le blâmer d'avoir fait une fausse déclaration ni d'avoir manifesté de la mauvaise foi dans sa réponse. L'institution de prévoyance recourante avait le devoir d'exiger d'autres informations si elle entendait se faire une idée sur le risque lié à l'état de santé de l'intimé et sur les circonstances médicales pouvant justifier la formulation d'une réserve.</w:t>
      </w:r>
    </w:p>
    <w:p>
      <w:r>
        <w:t>Le recours doit donc être rejeté sur ce point.</w:t>
      </w:r>
    </w:p>
    <w:p>
      <w:r>
        <w:rPr>
          <w:b/>
        </w:rPr>
        <w:t>E. 4.1</w:t>
      </w:r>
    </w:p>
    <w:p>
      <w:r>
        <w:t>Par ailleurs, l'Allianz reproche au tribunal cantonal d'avoir reconnu le droit de l'intimé à des prestations d'invalidité - demi-rente puis rente entière réglementaire - de la prévoyance professionnelle plus étendue. Elle soutient que, d'après son règlement, le droit à une telle rente est subordonné à l'existence de la qualité d'assuré au moment de la survenance et de l'augmentation de l'invalidité et non au moment où était apparue comme le prévoit l' art. 23 LPP l'incapacité de travail dont la cause est à l'origine de l'invalidité.</w:t>
      </w:r>
    </w:p>
    <w:p>
      <w:r>
        <w:rPr>
          <w:b/>
        </w:rPr>
        <w:t>E. 4.2</w:t>
      </w:r>
    </w:p>
    <w:p>
      <w:r>
        <w:t>On relèvera préalablement que les nouveaux moyens de droit sont admissibles céans, sauf s'ils sont contraires aux règles de la bonne foi (cf. notamment ATF 136 V 362 consid. 4.1 p. 366 s. et les références). Or, contrairement à ce qu'allègue l'assuré à ce sujet, le nouveau moyen de droit avancé par l'institution de prévoyance recourante (soit, l'invocation de l'art. 4.3.1 al. 1 let. a de son règlement pour s'exonérer du versement de la rente d'invalidité de la prévoyance sur-obligatoire) est recevable dans la mesure où il ne se fonde pas sur des faits nouveaux ni n'engendre des conclusions nouvelles. Il ne peut par ailleurs être considéré comme contraire aux règles de la bonne foi, dès lors qu'il est induit par l'acte attaqué dans le sens où les premiers juges ont donné tort à l'Allianz, défenderesse à l'action en paiement, en fonction uniquement de l'analyse du lien de connexité matérielle et temporelle et d'une éventuelle réticence. Par conséquent, il est admissible et légitime pour l'institution de prévoyance recourante d'alléguer pour la première fois en instance fédérale un argument dont elle ignorait s'il serait pris en compte - ou pas - en instance cantonale compte tenu du déroulement de la procédure.</w:t>
      </w:r>
    </w:p>
    <w:p>
      <w:r>
        <w:rPr>
          <w:b/>
        </w:rPr>
        <w:t>E. 4.3</w:t>
      </w:r>
    </w:p>
    <w:p>
      <w:r>
        <w:t>Sur le fond, l'argumentation développée par l'Allianz au sujet de la qualité d'assuré est partiellement fondée.</w:t>
      </w:r>
    </w:p>
    <w:p>
      <w:r>
        <w:rPr>
          <w:b/>
        </w:rPr>
        <w:t>E. 4.3.1</w:t>
      </w:r>
    </w:p>
    <w:p>
      <w:r>
        <w:t>Contrairement à ce que celle-ci affirme, le droit de l'intimé à des prestations d'invalidité de la prévoyance plus étendue ne dépend pas de la let. a de l'art. 4.3.1 al. 1 de son règlement mais de la let. b.</w:t>
      </w:r>
    </w:p>
    <w:p>
      <w:r>
        <w:t>En effet, d'après l'art. 4.3.1 al. 1 let. a du règlement de prévoyance, ce droit existe "quand la personne assurée devient invalide à raison de 40 pour cent au moins et était assurée auprès de la fondation selon le présent règlement de prévoyance lorsque est survenue l'incapacité de travail dont la cause est à l'origine de l'invalidité et qu'elle est toujours assurée au début de l'invalidité" alors que, d'après l'art. 4.3.1 al. 1 let. b, il existe "quand la personne assurée devient invalide à raison de 40 pour cent au moins et était déjà assurée auprès de la fondation selon le présent règlement de prévoyance lorsque est survenue l'incapacité de travail de 40 pour cent au minimum dont la cause est à l'origine de l'invalidité". Or, en l'occurrence, l'institution de prévoyance recourante ne conteste pas les conclusions de l'office AI, qui a reconnu le droit de l'intimé à une demi-rente d'invalidité à partir du 1er octobre 2010 (soit, six mois après le dépôt de la demande) en raison d'une incapacité de travail de 40 % survenue pendant le mois de juillet 2009. Il apparaît ainsi que l'assuré présentait une incapacité de travail de 40 % depuis le mois de juillet 2009 (date à laquelle il était toujours employé par la C.________ SA et dès lors toujours assuré par l'Allianz) et est devenu invalide à 40 % au moins. La condition de l'existence de la qualité d'assuré au moment de la survenance de l'invalidité telle que prévue par la let. a de la disposition règlementaire citée ne lui est donc pas opposable.</w:t>
      </w:r>
    </w:p>
    <w:p>
      <w:r>
        <w:t>L'intimé peut en conséquence prétendre une demi-rente d'invalidité de la prévoyance sur-obligatoire à partir du 1er juillet 2011, comme l'a du reste correctement constaté le tribunal cantonal. Le délai d'attente à compter de la survenance de l'incapacité de travail dont la cause est à l'origine de l'invalidité est effectivement de vingt-quatre mois selon le certificat d'assurance du 19 mai 2015. De surcroît, selon l'art. 4.3.4 al. 2 du règlement, la "fondation accorde une rente [...] seulement selon l'étendue et dans le cadre des dispositions de la LPP, si la rente AI prend naissance avant que ne soit écoulé le délai d'attente réglementaire et qu'il ne subsiste plus aucun droit au paiement du salaire ni aux indemnités journalières en cas de maladie et d'accident". Le versement des prestations réglementaires n'intervient qu'ensuite.</w:t>
      </w:r>
    </w:p>
    <w:p>
      <w:r>
        <w:rPr>
          <w:b/>
        </w:rPr>
        <w:t>E. 4.3.2</w:t>
      </w:r>
    </w:p>
    <w:p>
      <w:r>
        <w:t>Conformément à ce que soutient l'Allianz, il en va en revanche autrement de la question de l'augmentation de la rente de la prévoyance plus étendue.</w:t>
      </w:r>
    </w:p>
    <w:p>
      <w:r>
        <w:t>En effet, l'art. 4.3.1 al. 1 let. c du règlement de prévoyance prévoit que le droit aux prestations d'invalidité existe seulement "quand l'invalidité décrites aux lettres a) et b) augmente et que la personne assurée était assurée auprès de la fondation selon le présent règlement de prévoyance au moment de l'augmentation". Or, en l'espèce, il apparaît que, d'après les constatations de l'office AI, l'état de santé de l'intimé s'est péjoré au point d'entraîner une incapacité totale de travail dès le 10 mai 2012 et de lui ouvrir le droit à une rente entière depuis le 1er août suivant. A cette époque, l'assuré ne travaillait plus pour le C.________ SA depuis près de trois ans, de sorte que sa couverture d'assurance avait pris fin (cf. art. 10 al. 3 LPP ; voir également art. 3.4 al. 9 du règlement de prévoyance).</w:t>
      </w:r>
    </w:p>
    <w:p>
      <w:r>
        <w:t>L'intimé ne peut dès lors prétendre une rente entière de la prévoyance plus étendue. Il a toutefois droit au maintien du paiement d'une demi-rente de la prévoyance plus étendue, compte tenu de la lettre b de l'art. 4.3.6 du règlement de prévoyance selon laquelle: "si la personne assurée, pour qui les conditions du droit aux prestations selon le chiffre 4.3.1 ci-dessus sont remplies, quitte le cercle des personnes assurées, la réglementation suivante s'applique: si le degré d'invalidité existant augmente seulement après ce moment-là, l'obligation de servir des prestations demeure dans la limite du degré d'invalidité survenue avant ce moment-là. Pour l'augmentation du degré d'invalidité imputable à une même cause [comme c'est le cas en l'occurrence], il existe en plus un droit aux prestations minimales obligatoires selon les prescriptions de la LPP correspondant à la différence avec le degré d'invalidité préexistant".</w:t>
      </w:r>
    </w:p>
    <w:p>
      <w:r>
        <w:rPr>
          <w:b/>
        </w:rPr>
        <w:t>E. 4.4</w:t>
      </w:r>
    </w:p>
    <w:p>
      <w:r>
        <w:t>Par conséquent, il convient d'annuler l'acte attaqué et de renvoyer la cause au tribunal cantonal afin qu'il procède à un nouveau calcul du montant des prestations d'invalidité dues sur la base des considérants qui précèdent et rende un nouveau jugement. De surcroît, la juridiction cantonale prendra en compte les principes admis par les parties quant à la fixation des intérêts.</w:t>
      </w:r>
    </w:p>
    <w:p>
      <w:r>
        <w:rPr>
          <w:b/>
        </w:rPr>
        <w:t>E. 5</w:t>
      </w:r>
    </w:p>
    <w:p>
      <w:r>
        <w:t>Eu égard à l'issue du litige, les frais judiciaires doivent être répartis par moitié entre les parties ( art. 66 al. 1 LTF ). L'intimé peut prétendre une indemnité de dépens réduite à la charge de l'institution de prévoyance recourante ( art. 68 al. 1 LTF ). Celle-ci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