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9C_604/2021 vom 20. Dezember 2021</w:t>
      </w:r>
    </w:p>
    <w:p>
      <w:r>
        <w:t>Bundesgericht, 2021-12-20, FR</w:t>
      </w:r>
    </w:p>
    <w:p>
      <w:r>
        <w:rPr>
          <w:b/>
        </w:rPr>
        <w:t xml:space="preserve">Quelle: </w:t>
      </w:r>
      <w:r>
        <w:t>https://mcp.opencaselaw.ch/entscheid/bger_9C_604_2021</w:t>
      </w:r>
    </w:p>
    <w:p>
      <w:r>
        <w:t>FR: TF 9C_604/2021 du 20 décembre 2021</w:t>
      </w:r>
    </w:p>
    <w:p>
      <w:r>
        <w:t>IT: TF 9C_604/2021 del 20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9C_604/2021</w:t>
      </w:r>
    </w:p>
    <w:p>
      <w:r>
        <w:t>Arrêt du 20 décembre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Caisse cantonale vaudoise de compensation AVS, rue des Moulins 3, 1800 Vevey,</w:t>
      </w:r>
    </w:p>
    <w:p>
      <w:r>
        <w:t>intimée.</w:t>
      </w:r>
    </w:p>
    <w:p>
      <w:r>
        <w:t>Objet</w:t>
      </w:r>
    </w:p>
    <w:p>
      <w:r>
        <w:t>Prestation complémentaire à l'AVS/AI,</w:t>
      </w:r>
    </w:p>
    <w:p>
      <w:r>
        <w:t>recours contre l'arrêt du Tribunal cantonal du canton de Vaud, Cour des assurances sociales, du 5 octobre 2021 (PC 5/21 &amp; PC 16/21-27/2021).</w:t>
      </w:r>
    </w:p>
    <w:p>
      <w:r>
        <w:t>Considérant en fait et en droit :</w:t>
      </w:r>
    </w:p>
    <w:p>
      <w:r>
        <w:t>qu'il ressort de l'arrêt du Tribunal cantonal du canton de Vaud, Cour des assurances sociales, du 5 octobre 2021, que la Caisse cantonale vaudoise de compensation (ci-après: la caisse) a, par décision du 8 janvier 2021 confirmée sur opposition le 12 février 2021, supprimé le droit de A.________ aux prestations complémentaires à l'AI, faute de domicile en Suisse,</w:t>
      </w:r>
    </w:p>
    <w:p>
      <w:r>
        <w:t>que par décision du 19 février 2021, confirmée sur opposition le 25 mars 2021, la caisse a réclamé à l'assurée la restitution d'un montant de 32'750 fr., correspondant aux prestations complémentaires versées à tort pour la période s'étendant du 1</w:t>
      </w:r>
    </w:p>
    <w:p>
      <w:r>
        <w:t>er décembre 2017 au 31 janvier 2021, au motif qu'elle n'était plus inscrite au Contrôle des habitants de sa commune de domicile depuis le 24 novembre 2017,</w:t>
      </w:r>
    </w:p>
    <w:p>
      <w:r>
        <w:t>que dans son arrêt du 5 octobre 2021, la juridiction cantonale a rejeté les recours que l'assurée avait formés contre les décisions sur opposition des 12 février et 25 mars 2021,</w:t>
      </w:r>
    </w:p>
    <w:p>
      <w:r>
        <w:t>que A.________ interjette un recours contre cet arrêt, qu'elle accompagne d'une demande d'assistance judiciaire, d'une requête d'effet suspensif, et d'une demande de suspension de la procédure,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la recourante reproche à l'autorité précédente d'avoir retenu à tort qu'elle aurait quitté la commune de Montreux depuis des années,</w:t>
      </w:r>
    </w:p>
    <w:p>
      <w:r>
        <w:t>que cette argumentation est toutefois purement appellatoire, car la recourante n'indique pas, notamment, en quoi le Tribunal cantonal aurait procédé à une appréciation arbitraire des preuves,</w:t>
      </w:r>
    </w:p>
    <w:p>
      <w:r>
        <w:t>qu'à la lecture du mémoire de recours, on ne peut pas en déduire en quoi les constatations des premiers juges seraient inexactes, au sens de l' art. 97 al. 1 LTF , ni en quoi l'acte attaqué serait contraire au droit,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que les conditions d'une suspension de la procédure ne sont dès lors pas remplies ( art. 6 al. 1 PCF en relation avec l' art. 71 LTF ),</w:t>
      </w:r>
    </w:p>
    <w:p>
      <w:r>
        <w:t>qu'en raison de l'issue du litige, la requête d'attribution de l'effet suspensif au recours ( art. 103 LTF ) n'a plus d'objet,</w:t>
      </w:r>
    </w:p>
    <w:p>
      <w:r>
        <w:t>qu'étant parvenue au Tribunal fédéral le 11 novembre 2021, soit le dernier jour du délai de recours qui ne pouvait être prolongé ( art. 47 al. 1 LTF ), la demande de désignation d'un avocat d'office ( art. 64 al. 2 LTF ) pour corriger le mémoire de recours était inopérante,</w:t>
      </w:r>
    </w:p>
    <w:p>
      <w:r>
        <w:t>que pour le surplus, dès lors qu'il est renoncé à la perception de frais judiciaires ( art. 66 al. 1 LTF ), la demande d'assistance judiciaire ( art. 64 al. 1 LTF ) n'a plus d'objet à cet égard,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20 décembre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