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9C_603/2009 vom 2. Februar 2010</w:t>
      </w:r>
    </w:p>
    <w:p>
      <w:r>
        <w:t>Bundesgericht, 2010-02-02, FR</w:t>
      </w:r>
    </w:p>
    <w:p>
      <w:r>
        <w:rPr>
          <w:b/>
        </w:rPr>
        <w:t xml:space="preserve">Quelle: </w:t>
      </w:r>
      <w:r>
        <w:t>https://mcp.opencaselaw.ch/entscheid/bger_9C_603_2009</w:t>
      </w:r>
    </w:p>
    <w:p>
      <w:r>
        <w:t>FR: TF 9C_603/2009 du 2 février 2010</w:t>
      </w:r>
    </w:p>
    <w:p>
      <w:r>
        <w:t>IT: TF 9C_603/2009 del 2 febbraio 2010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A l'appui de son recours, l'office recourant critique exclusivement la valeur probante des expertises judiciaires sur lesquelles le Tribunal cantonal des assurances sociales a fondé son appréciation du cas. L'expertise du docteur M.________ mêlerait considérations médicales et sociales, de sorte que les conclusions retenues par ce médecin sortiraient du domaine de compétence de l'expert et du mandat qui lui avait été confié. L'expertise du docteur E.________ ferait preuve quant à elle d'un manque notable de clarté et ne contiendrait pas de discussion convaincante. Ce médecin tiendrait par ailleurs des propos à connotation subjective et dépréciative à l'égard du SMR qui ne concorderaient pas avec la neutralité et l'objectivité exigée d'un expert médecin. Enfin, dès lors que les aspects somatiques et psychiques interagissaient entre eux, il convenait en l'espèce de mettre en oeuvre une expertise médicale pluridisciplinaire, et non deux expertises distinctes comme l'avait fait la juridiction cantonale.</w:t>
      </w:r>
    </w:p>
    <w:p>
      <w:r>
        <w:rPr>
          <w:b/>
        </w:rPr>
        <w:t>E. 3.1</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3.2</w:t>
      </w:r>
    </w:p>
    <w:p>
      <w:r>
        <w:t>En principe, le juge ne s'écarte pas sans motifs impérieux des conclusions d'une expertise médicale judiciaire, la tâche de l'expert étant précisément de mettre ses connaissances spéciales à la disposition de la justice afin de l'éclairer sur les aspects médicaux d'un état de fait donné. Selon la jurisprudence, peut notamment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w:t>
      </w:r>
    </w:p>
    <w:p>
      <w:r>
        <w:rPr>
          <w:b/>
        </w:rPr>
        <w:t>E. 3.3</w:t>
      </w:r>
    </w:p>
    <w:p>
      <w:r>
        <w:t>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(voir à ce sujet JACQUES MEINE, L'expert et l'expertise - critères de validité de l'expertise médicale, p. 1 ss, ainsi que FRANÇOIS PAYCHÈRE, Le juge et l'expert - plaidoyer pour une meilleure compréhension, in L'expertise médicale, 2002, p. 11 ss et 133 ss)</w:t>
      </w:r>
    </w:p>
    <w:p>
      <w:r>
        <w:rPr>
          <w:b/>
        </w:rPr>
        <w:t>E. 4.1</w:t>
      </w:r>
    </w:p>
    <w:p>
      <w:r>
        <w:t>Comme le met en évidence l'office recourant, l'expertise réalisée par le docteur M.________ ne repose pas sur une appréciation objective de la capacité résiduelle de travail de l'intimé définie en fonction des seuls empêchements fonctionnels liés aux atteintes constatées. L'intégration de signes comportementaux (« signes de Waddell ») et de facteurs de risque psycho-sociaux dans le corps de l'analyse traduit une méconnaissance de la notion d'atteinte à la santé applicable dans le domaine des assurances sociales.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 ATF 127 V 294 consid. 5a p. 299). Le droit n'ignore pas le rôle majeur que le modèle bio-psycho-social joue aujourd'hui dans l'approche thérapeutique de la maladie. Néanmoins, dans la mesure où il en va de l'évaluation assécurologique de l'exigibilité d'une activité professionnelle, il y a lieu de s'éloigner d'une appréciation médicale qui nierait cette exigibilité lorsque celle-ci se fonde de manière prépondérante sur des facteurs psychosociaux ou socioculturels, facteurs qui sont étrangers à la définition juridique de l'invalidité (ULRICH MEYER-BLASER, Der Rechtsbegriff der Arbeitsunfähigkeit und seine Bedeutung in der Sozialversicherung, namentlich für den Einkommensvergleich in der Invaliditätsbemessung, in Schmerz und Arbeitsunfähigkeit, 2003, p. 36 ss; voir également Lignes directrices de la Société suisse de rhumatologie pour l'expertise médicale des maladies rhumatismales et des séquelles rhumatismales d'accidents, in Bulletin des médecins suisses, 2007/88 p. 737; ULRICH MEYER, Krankheit als leistungsauslösender Begriff im Sozialversicherungsrecht, Schweizerische Ärztezeitung 2009/90 p. 585). En l'espèce, le docteur M.________ s'est écarté de son mandat d'expert pour clairement inscrire sa démarche intellectuelle dans le cadre d'une approche bio-psycho-sociale de la maladie. Comme déjà indiqué, le rapport d'expertise ne contient aucune explication circonstanciée quant à l'influence objective que jouent les atteintes constatées sur la capacité de travail de l'intimé. Au contraire, les références à la doctrine médicale citées par le docteur M.________ démontrent que ce médecin a souhaité placer au centre de la discussion la perception subjective que l'assuré se fait de sa situation; il n'est dès lors guère étonnant de le voir, au terme de son rapport, inviter les assureurs à repenser complètement l'approche assécurologique de la problématique relative aux douleurs chroniques. Dans ces conditions, il convient de nier toute valeur probante à son rapport d'expertise.</w:t>
      </w:r>
    </w:p>
    <w:p>
      <w:r>
        <w:rPr>
          <w:b/>
        </w:rPr>
        <w:t>E. 4.2</w:t>
      </w:r>
    </w:p>
    <w:p>
      <w:r>
        <w:t>L'expertise du docteur E.________ est entachée quant à elle de plusieurs défauts majeurs qui dénotent un manque certain de rigueur scientifique. De façon générale, l'expertise est rendue peu lisible en raison d'un manque de structure et des lacunes au niveau des informations recueillies; on relèvera par exemple que celle-ci ne renferme aucune anamnèse sociale et professionnelle. Plus délicat est le fait que l'expertise ne contient pas de partie consacrée à une discussion générale du cas, où seraient intégrés, dans un tableau global cohérent, les renseignements issus du dossier, l'anamnèse, les indications subjectives, l'observation clinique et le résultat des examens complémentaires pratiqués (cf. Lignes directrices de la Société suisse de psychiatrie d'assurance pour l'expertise médicale des troubles psychiques, in Bulletin des médecins suisses 2004/85 p. 1905 ss). En l'absence de discussion, on peine à se convaincre que l'ensemble des éléments pertinents - à l'exclusion par exemple des facteurs psychosociaux ou socioculturels - ont été pris en compte pour l'établissement du diagnostic et l'évaluation de la capacité de travail. Quant aux divers rapports médicaux versés au dossier, ils sont discutés dans le cadre de l'anamnèse. Comme le relève l'office recourant, l'expert y use à l'égard des rapports établis par le SMR de tournures ironiques ou polémiques inappropriées dans le cadre d'une expertise qui sont propres à susciter des doutes quant à l'objectivité et l'impartialité du docteur E.________ (par exemple: « l'explication du cas qui nous est proposée est intéressante, quoique plus philosophique que médicale »; « On est étonné en lisant cette hypothèse psycho-philosophique de l'absence d'arguments avancés pour l'étayer »; « [...] au nom d'un existentialisme à la mode de l'assurance-invalidité [...] »; « Mais malgré le rapport de la doctoresse L.________, Monsieur A.________ n'a rien d'un poète symboliste ou romantique, ni son insomnie de celle d'un pierrot lunaire »). L'ensemble de ces éléments sont de nature à ébranler sérieusement la crédibilité de l'expertise, de sorte qu'il n'est raisonnablement pas possible d'en suivre les conclusions.</w:t>
      </w:r>
    </w:p>
    <w:p>
      <w:r>
        <w:rPr>
          <w:b/>
        </w:rPr>
        <w:t>E. 5</w:t>
      </w:r>
    </w:p>
    <w:p>
      <w:r>
        <w:t>Il résulte de ce qui précède que les critiques formulées par l'office recourant s'avèrent pleinement fondées. Au regard de l'absence de valeur probante des expertises réalisées par les docteurs M.________ et E.________, il y a lieu d'annuler le jugement entrepris et de renvoyer la cause au Tribunal cantonal des assurances sociales pour qu'il complète l'instruction en ordonnant une nouvelle expertise. Comme le fait remarquer à juste titre l'office recourant, cette expertise devra revêtir un caractère pluridisciplinaire - rhumatologique et psychiatrique -, les aspects psychiatriques ne pouvant être dissociés des aspects somatiques dans le cas d'espèce.</w:t>
      </w:r>
    </w:p>
    <w:p>
      <w:r>
        <w:rPr>
          <w:b/>
        </w:rPr>
        <w:t>E. 6</w:t>
      </w:r>
    </w:p>
    <w:p>
      <w:r>
        <w:t>Vu l'issue du litige, les frais judiciaires sont mis à la charge de l'intimé ( art. 66 al. 1 LTF ) qui ne peut prétendre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