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601/2015 vom 28. Dezember 2015</w:t>
      </w:r>
    </w:p>
    <w:p>
      <w:r>
        <w:t>Bundesgericht, 2015-12-28, DE</w:t>
      </w:r>
    </w:p>
    <w:p>
      <w:r>
        <w:rPr>
          <w:b/>
        </w:rPr>
        <w:t xml:space="preserve">Quelle: </w:t>
      </w:r>
      <w:r>
        <w:t>https://mcp.opencaselaw.ch/entscheid/bger_9C_601_2015</w:t>
      </w:r>
    </w:p>
    <w:p>
      <w:r>
        <w:t>FR: TF 9C 601/2015 du 28 décembre 2015</w:t>
      </w:r>
    </w:p>
    <w:p>
      <w:r>
        <w:t>IT: TF 9C 601/2015 del 28 dicembre 2015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Zwischenverfügung vom 19. März 2015 hielt die IV-Stelle des Kantons Zürich an einer polydisziplinären medizinischen Abklärung des eine Dreiviertels-Invalidenrente beziehenden A.________ (geb. 1966) durch die B.________ AG fest, was das Sozialversicherungsgericht des Kantons Zürich durch Abweisung der hiegegen eingereichten Beschwerde bestätigte (Entscheid vom 15. Juni 2015). Die dagegen erhobene Beschwerde in öffentlich-rechtlichen Angelegenheiten (Anträge: Verzicht auf Begutachtung, insbesondere durch die B.________ AG; eventualiter einvernehmliche Bestimmung eines Gutachters; subeventualiter hoheitliche Bestimmung neutraler und fachkompetenter Experten in den notwendigen Disziplinen; vorgängige Gewährung der Mitwirkungsrechte) ist angesichts von BGE 137 V 210 E. 1.3.3 S. 227, 138 V 271 und des Urteils 8C_599/2014 vom 18. Dezember 2015 offensichtlich unzulässig, was keiner näheren Begründung bedarf und als kurze Angabe des Grundes im Sinne von Art. 108 Abs. 3 BGG genügt (vgl. auch die in den ähnlich gelagerten Fällen 9C_465/2015 und 9C_710/2015 ergangenen Urteile vom 27. August 2015 und vom heutigen Tage).</w:t>
      </w:r>
    </w:p>
    <w:p>
      <w:r>
        <w:rPr>
          <w:b/>
        </w:rPr>
        <w:t>E. 2</w:t>
      </w:r>
    </w:p>
    <w:p>
      <w:r>
        <w:t>Die Beschwerde ist daher im Verfahren nach Art. 108 Abs. 1 lit. a und Abs. 2 BGG zu erledigen, was zur Erhebung reduzierter Gerichtskosten führt ( Art. 66 Abs. 1 Satz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