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9C_5/2009 vom 16. Juli 2009</w:t>
      </w:r>
    </w:p>
    <w:p>
      <w:r>
        <w:t>Bundesgericht, 2009-07-16, DE</w:t>
      </w:r>
    </w:p>
    <w:p>
      <w:r>
        <w:rPr>
          <w:b/>
        </w:rPr>
        <w:t xml:space="preserve">Quelle: </w:t>
      </w:r>
      <w:r>
        <w:t>https://mcp.opencaselaw.ch/entscheid/bger_9C_5_2009</w:t>
      </w:r>
    </w:p>
    <w:p>
      <w:r>
        <w:t>FR: TF 9C_5/2009 du 16 juillet 2009</w:t>
      </w:r>
    </w:p>
    <w:p>
      <w:r>
        <w:t>IT: TF 9C_5/2009 del 16 luglio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das Gutachten des Instituts X.________ vom 22. Dezember 2005, erwogen, dass in einer körperlich leichten bis mittelschweren Tätigkeit in wechselnder Position und ohne längerdauernde Zwangshaltungen der unteren Wirbelsäule eine vollzeitliche Arbeitsfähigkeit mit einer Leistungseinbusse von 20 %, entsprechend einer zumutbaren Arbeitsfähigkeit von 80 %, bestehe. Da der Versicherte wegen erfolgter leidensfremder Kündigung nicht mehr an seinem früheren Arbeitsplatz tätig wäre, sei der im Baugewerbe mutmasslich erzielte Lohn anhand der statistischen Tabellenlöhne zu ermitteln, was für das Jahr 2005 ein Einkommen von Fr. 67'443.15 ergebe. Unter Berücksichtigung eines Einkommens aus Nebenerwerb als Hauswart von Fr. 7935.45 im Jahr 2005 betrage das Valideneinkommen gesamthaft Fr. 75'378.60. Für das Invalideneinkommen sei auf den Zentralwert für die mit einfachen und repetitiven Aufgaben beschäftigten Männer abzustellen, woraus für das Jahr 2005 ein Einkommen von Fr. 57'750.85 resultiere. Unter Berücksichtigung der Leistungseinbusse von 20 % und eines zusätzlichen Abzuges von 5 % vom Tabellenlohn belaufe sich das Invalideneinkommen für die Haupterwerbstätigkeit auf Fr. 43'890.65. Da die Nebenerwerbstätigkeit als Hauswart weiterhin zumutbar sei, sei ihm ein zusätzliches Invalideneinkommen von Fr. 6348.35 (80 % von Fr. 7935.45) anzurechnen. Insgesamt belaufe sich das Invalideneinkommen auf Fr. 50'239.-. Verglichen mit dem hypothetischen Valideneinkommen von Fr. 75'378.60 resultiere eine Einkommenseinbusse von Fr. 25'139.60, was einen Invaliditätsgrad von 33,35 % ergebe.</w:t>
      </w:r>
    </w:p>
    <w:p>
      <w:r>
        <w:rPr>
          <w:b/>
        </w:rPr>
        <w:t>E. 2.2</w:t>
      </w:r>
    </w:p>
    <w:p>
      <w:r>
        <w:t>Die tatsächlichen Feststellungen des kantonalen Gerichts sind nicht mangelhaft im Sinne von Art. 97 Abs. 1 BGG . Namentlich hat das kantonale Gericht eingehend begründet, weshalb es für die Beurteilung der Arbeitsfähigkeit auf das Gutachten des Instituts X.________ vom 22. Dezember 2005 abgestellt hat. Diese Schlussfolgerung ist nach der Aktenlage nicht offensichtlich unrichtig, noch ist darin eine unvollständige Sachverhaltsfeststellung oder eine Verletzung des Untersuchungsgrundsatzes zu erblicken. Da keine erheblichen Zweifel an Vollständigkeit und/oder Richtigkeit der bisher getroffenen Tatsachenfeststellung bestehen (vgl. Urteil 8C_364/2007 vom 19. November 2007, E. 3.2), hat das kantonale Gericht zu Recht von Beweisweiterungen abgesehen. Das Gutachten des Instituts X.________ vom 22. Dezember 2005 entspricht den Anforderungen der Rechtsprechung ( BGE 125 V 351 E. 3a S. 352 mit Hinweis). Es berücksichtigt die geklagten Leiden, stützt sich auf die Vorakten, leuchtet in der Beurteilung der medizinischen Zusammenhänge ein und enthält eine nachvollziehbare Begründung der Schlussfolgerungen, warum seitens der ärztlichen Sachverständigen keine höheren Einschränkungen der Arbeitsfähigkeit attestiert wurden. Von einer willkürlichen Beweiswürdigung durch die Vorinstanz kann deshalb nicht gesprochen werden, auch nicht hinsichtlich der Leistungseinbusse in der Nebentätigkeit als Hauswart.</w:t>
      </w:r>
    </w:p>
    <w:p>
      <w:r>
        <w:rPr>
          <w:b/>
        </w:rPr>
        <w:t>E. 2.3</w:t>
      </w:r>
    </w:p>
    <w:p>
      <w:r>
        <w:t>Die Ermittlung eines Invaliditätsgrades von weniger als 40 % aufgrund der Einkommensvergleichsmethode ist bundesrechtskonform. Für das Valideneinkommen hat das kantonale Gericht zu Recht nicht auf den zuletzt bei der früheren Arbeitgeberin verdienten Lohn abgestellt, weil der Beschwerdeführer diese Stelle nach den verbindlichen Feststellungen des kantonalen Gerichts aus invaliditätsfremden Gründen verloren hat und als Gesunder nicht mehr an der bisherigen langjährigen Arbeitsstelle tätig wäre. Das Vorgehen des kantonalen Gerichts entspricht der höchstrichterlichen Rechtsprechung (Urteil des Eidgenössischen Versicherungsgerichts vom 28. Januar 2004, I 95/03, E. 4.2.2). Es besteht kein Anlass, von dieser Rechtsprechung abzugehen. Der beruflichen Qualifikation und langjährigen Berufserfahrung als Vorarbeiter hat die Vorinstanz mit der Anerkennung des Anforderungsniveaus 3 Rechnung getragen. Wenn in der Beschwerde die von 2000 bis 2003 bei der früheren Arbeitgeberin bezogenen Löhne aufgelistet werden (S. 3), geht dies an der Sache vorbei, weil es für die Festlegung des Valideneinkommens nicht auf die "effektiven Löhne" sondern auf die hypothetischen Einkünfte ankommt, welche die versicherte Person ohne Gesundheitsschaden mit überwiegender Wahrscheinlichkeit erzielen würde ( Art. 16 ATSG ; SVR 2009 IV Nr. 6 S. 11). Diese Anforderung gilt für alle Versichertenkategorien in gleicher Weise, weshalb von einer EMRK-rechtlich erheblichen Diskriminierung von Angehörigen körperlich belastender Berufe nicht die Rede sein kann. Im Falle des Beschwerdeführers ist es unwahrscheinlich, dass er nach der - von der Vorinstanz verbindlich als nicht leidensbedingt erfolgt festgestellten - Entlassung auf den 29. Februar 2004 weiterhin das bisherige Lohnniveau erreicht hätte.</w:t>
      </w:r>
    </w:p>
    <w:p>
      <w:r>
        <w:t>Soweit der Beschwerdeführer geltend macht, der Abzug vom Tabellenlohn sei auf 50 % festzusetzen, kann ihm nicht gefolgt werden. Bei der Höhe des Abzugs handelt es sich um eine typische Ermessensfrage, deren Beantwortung letztinstanzlicher Korrektur nurmehr dort zugänglich ist, wo das kantonale Gericht das Ermessen rechtsfehlerhaft ausgeübt hat, also Ermessensüberschreitung, -missbrauch oder -unterschreitung vorliegt ( BGE 132 V 393 E. 3.3 S. 399). Der Beschwerdeführer legt nicht dar, welche Aspekte und Kriterien das kantonale Gericht und die IV-Stelle bei der konkreten Festsetzung der Höhe des Abzugs nicht berücksichtigt oder ausser Acht gelassen haben. Auch in diesem Zusammenhang sind entgegen der Auffassung des Beschwerdeführers keine Gründe ersichtlich, um von der Rechtsprechung ( BGE 126 V 75 ) zur maximal zulässigen Höhe des Abzugs von 25 % abzuweichen. Eine Verletzung der Wirtschaftsfreiheit oder sonstiger Grundrechte liegt sodann nicht vor. Die Ermittlung des Invaliditätsgrades beruht auf einer mängelfreien Feststellung des Sachverhalts und korrekten Anwendung von Gesetz und Rechtsprechung.</w:t>
      </w:r>
    </w:p>
    <w:p>
      <w:r>
        <w:rPr>
          <w:b/>
        </w:rPr>
        <w:t>E. 3</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