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9C_59/2020 vom 13. Mai 2020</w:t>
      </w:r>
    </w:p>
    <w:p>
      <w:r>
        <w:t>Bundesgericht, 2020-05-13, FR</w:t>
      </w:r>
    </w:p>
    <w:p>
      <w:r>
        <w:rPr>
          <w:b/>
        </w:rPr>
        <w:t xml:space="preserve">Quelle: </w:t>
      </w:r>
      <w:r>
        <w:t>https://mcp.opencaselaw.ch/entscheid/bger_9C_59_2020</w:t>
      </w:r>
    </w:p>
    <w:p>
      <w:r>
        <w:t>FR: TF 9C_59/2020 du 13 mai 2020</w:t>
      </w:r>
    </w:p>
    <w:p>
      <w:r>
        <w:t>IT: TF 9C_59/2020 del 13 maggio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Dans un grief d'ordre formel, le recourant se plaint d'une violation de son droit à un procès équitable garanti par l'art. 6 § 1 CEDH . Il soutient en substance qu'il avait présenté une requête tendant à la mise en oeuvre de débats publics dans son recours cantonal, de sorte que l'autorité précédente aurait dû organiser de tels débats.</w:t>
      </w:r>
    </w:p>
    <w:p>
      <w:r>
        <w:rPr>
          <w:b/>
        </w:rPr>
        <w:t>E. 3.1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w:t>
      </w:r>
    </w:p>
    <w:p>
      <w:r>
        <w:t>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2ème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p. 98 s.; cf. aussi arrêts 9C_320/2019 du 9 décembre 2019 consid. 4.1 et 8C_528/2017 du 19 décembre 2017 consid. 1.3 et les références). Le Tribunal fédéral a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(cf. ATF 136 I 279 consid. 3 p. 283 s.).</w:t>
      </w:r>
    </w:p>
    <w:p>
      <w:r>
        <w:rPr>
          <w:b/>
        </w:rPr>
        <w:t>E. 3.2</w:t>
      </w:r>
    </w:p>
    <w:p>
      <w:r>
        <w:t>En l'espèce, il n'apparaît pas que l'une de ces exceptions soit réalisée. On ignore d'ailleurs les motifs pour lesquels les premiers juges n'ont pas donné suite à la requête du recourant. Sur ce point, le jugement attaqué ne contient aucune motivation.</w:t>
      </w:r>
    </w:p>
    <w:p>
      <w:r>
        <w:rPr>
          <w:b/>
        </w:rPr>
        <w:t>E. 3.3</w:t>
      </w:r>
    </w:p>
    <w:p>
      <w:r>
        <w:t>En l'absence d'un motif qui s'opposait à la tenue d'une audience publique devant la juridiction cantonale et compte tenu de la demande non équivoque formulée devant celle-ci par le recourant, il y a lieu d'admettre que la procédure cantonale est entachée d'un vice de procédure qui entraîne d'emblée l'annulation du jugement entrepris, indépendamment des chances de succès sur le fond du recours en matière de droit public ( ATF 134 I 331 consid. 3.1 p. 335 s.). Dans ces circonstances, l'acte attaqué doit être annulé et la cause renvoyée à la juridiction cantonale pour qu'elle donne suite à la requête de débats publics du recourant et statue à nouveau. La conclusion subsidiaire du recours se révèle ainsi bien fondée.</w:t>
      </w:r>
    </w:p>
    <w:p>
      <w:r>
        <w:rPr>
          <w:b/>
        </w:rPr>
        <w:t>E. 4</w:t>
      </w:r>
    </w:p>
    <w:p>
      <w:r>
        <w:t>Vu l'issue de la procédure, qui relève de motifs formels, il convient de renoncer à un échange d'écritures ( art. 102 al. 1 LTF ; arrêt 9C_320/2019 précité consid. 4.4 et les références).</w:t>
      </w:r>
    </w:p>
    <w:p>
      <w:r>
        <w:rPr>
          <w:b/>
        </w:rPr>
        <w:t>E. 5</w:t>
      </w:r>
    </w:p>
    <w:p>
      <w:r>
        <w:t>Le recourant, qui obtient gain de cause, a droit à des dépens à la charge de l'intimé (cf. art. 66 al. 1 LTF ; ATF 141 V 281 consid. 11.1 p. 312).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