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9C_599/2018 vom 4. Dezember 2018</w:t>
      </w:r>
    </w:p>
    <w:p>
      <w:r>
        <w:t>Bundesgericht, 2018-12-04, FR</w:t>
      </w:r>
    </w:p>
    <w:p>
      <w:r>
        <w:rPr>
          <w:b/>
        </w:rPr>
        <w:t xml:space="preserve">Quelle: </w:t>
      </w:r>
      <w:r>
        <w:t>https://mcp.opencaselaw.ch/entscheid/bger_9C_599_2018</w:t>
      </w:r>
    </w:p>
    <w:p>
      <w:r>
        <w:t>FR: TF 9C_599/2018 du 4 décembre 2018</w:t>
      </w:r>
    </w:p>
    <w:p>
      <w:r>
        <w:t>IT: TF 9C_599/2018 del 4 dicembre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sur le droit du recourant à une rente de l'assurance-invalidité à compter de sa nouvelle demande de prestations (du 18 novembre 2014).</w:t>
      </w:r>
    </w:p>
    <w:p>
      <w:r>
        <w:t>Le jugement entrepris expose de manière complète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w:t>
      </w:r>
    </w:p>
    <w:p>
      <w:r>
        <w:rPr>
          <w:b/>
        </w:rPr>
        <w:t>E. 3</w:t>
      </w:r>
    </w:p>
    <w:p>
      <w:r>
        <w:t>Les premiers juges ont constaté que l'état de santé du recourant ne s'était pas modifié depuis les conclusions des médecins du CEMed de février 2010, à l'exception de l'apparition d'un diabète (non insulinorequérant) et d'une hypercholestérolémie. Ils ont retenu que le docteur G.________ avait en particulier indiqué qu'au regard de leur sévérité et de leur persistance, les symptômes psychiques invoqués par le recourant n'étaient pas incapacitants.</w:t>
      </w:r>
    </w:p>
    <w:p>
      <w:r>
        <w:rPr>
          <w:b/>
        </w:rPr>
        <w:t>E. 4</w:t>
      </w:r>
    </w:p>
    <w:p>
      <w:r>
        <w:t>Le recourant reproche à la juridiction cantonale d'avoir apprécié les faits de manière arbitraire et d'avoir violé son droit d'être entendu en niant la nécessité d'ordonner une nouvelle expertise pluridisciplinaire. Tel qu'invoqué, le grief de violation du droit d'être entendu n'a en l'occurrence pas de portée propre par rapport à celui tiré de l'arbitraire dans l'appréciation des preuves (cf. arrêt 9C_274/2015 du 4 janvier 2016 consid. 4.2.2; voir aussi ULRICH MEYER, Tatfrage - Rechtsfrage, in: Grenzfälle in der Sozialversicherung, 2015, p. 102). Il n'y a dès lors pas lieu d'examiner ce grief séparément.</w:t>
      </w:r>
    </w:p>
    <w:p>
      <w:r>
        <w:rPr>
          <w:b/>
        </w:rPr>
        <w:t>E. 5</w:t>
      </w:r>
    </w:p>
    <w:p>
      <w:r>
        <w:t>Compte tenu de son pouvoir d'examen restreint en la matière (consid. 1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Le recourant n'expose en l'occurrence pas clairement quels éléments concrets et objectifs sont susceptibles de remettre en cause l'appréciation anticipée des preuves (à ce sujet, voir ATF 140 I 285 consid. 6.3.1 p. 298) qui a conduit la juridiction cantonale à renoncer à ordonner une nouvelle expertise pluridisciplinaire, respectivement en quoi l'appréciation de celle-ci eût été différente si elle en avait tenu compte.</w:t>
      </w:r>
    </w:p>
    <w:p>
      <w:r>
        <w:t>S'agissant en particulier du "status post cancer lympho-épithéliale", du diabète, des céphalées ou de "son évolution générale", il n'explique pas en quoi les premiers juges auraient retenu de manière arbitraire que les docteurs E.________ et G.________ ne faisaient pas état d'une aggravation de son état de santé depuis 2012, les deux nouveaux diagnostics (diabète et hypercholestérolémie) n'ayant pas été qualifiés d'invalidants. Quant à l'épisode dépressif moyen, avec syndrome somatique, mentionné par le docteur F.________, le docteur G.________ a expliqué de manière circonstanciée les motifs pour lesquels il ne retenait pas ce diagnostic. Or le recourant ne remet pas valablement en cause les conclusions de cette expertise, auxquelles il se limite à opposer un avis médical contraire. Cette argumentation ne suffit pas à démontrer que le raisonnement des premiers juges serait arbitraire. En refusant d'ordonner la réalisation d'une nouvelle expertise pluridisciplinaire, la juridiction cantonale n'a dès lors pas procédé à une appréciation anticipée arbitraire des preuves ni n'a sous cet angle violé le droit d'être entendu du recourant.</w:t>
      </w:r>
    </w:p>
    <w:p>
      <w:r>
        <w:rPr>
          <w:b/>
        </w:rPr>
        <w:t>E. 6</w:t>
      </w:r>
    </w:p>
    <w:p>
      <w:r>
        <w:t>Les considérants qui précèdent conduisent au rejet du recours,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