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9C_599/2011 vom 13. Januar 2012</w:t>
      </w:r>
    </w:p>
    <w:p>
      <w:r>
        <w:t>Bundesgericht, 2012-01-13, FR</w:t>
      </w:r>
    </w:p>
    <w:p>
      <w:r>
        <w:rPr>
          <w:b/>
        </w:rPr>
        <w:t xml:space="preserve">Quelle: </w:t>
      </w:r>
      <w:r>
        <w:t>https://mcp.opencaselaw.ch/entscheid/bger_9C_599_2011</w:t>
      </w:r>
    </w:p>
    <w:p>
      <w:r>
        <w:t>FR: TF 9C_599/2011 du 13 janvier 2012</w:t>
      </w:r>
    </w:p>
    <w:p>
      <w:r>
        <w:t>IT: TF 9C_599/2011 del 13 gennaio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En instance fédérale, le litige porte exclusivement, dans le cadre de la méthode mixte d'évaluation, sur la détermination du revenu d'invalide, second terme de la comparaison des revenus applicable pour évaluer l'invalidité dans le domaine que l'assurée consacrerait à l'exercice d'une activité lucrative.</w:t>
      </w:r>
    </w:p>
    <w:p>
      <w:r>
        <w:t>Les règles légales et jurisprudentielles sur la manière d'effectuer la comparaison des revenus (prévue à l' art. 16 LPGA ), y compris celles concernant l'utilisation de l'ESS, relèvent de questions de droit. Sous cet angle, la constatation des deux revenus hypothétiques à comparer est une question de fait, dans la mesure où elle repose sur une appréciation concrète des preuves; il s'agit en revanche d'une question de droit si elle se fonde sur l'expérience générale de la vie. Ainsi, relèvent du droit les questions de savoir si les salaires statistiques de l'ESS sont applicables ou quel tableau statistique est déterminant ( ATF 132 V 393 consid. 3.3 p. 399).</w:t>
      </w:r>
    </w:p>
    <w:p>
      <w:r>
        <w:rPr>
          <w:b/>
        </w:rPr>
        <w:t>E. 3.1</w:t>
      </w:r>
    </w:p>
    <w:p>
      <w:r>
        <w:t>L'instance cantonale s'est référée aux salaires statistiques selon l'Enquête suisse sur la structure des salaires (ci-après: ESS) 2008, TA1, secteur des services, niveau 4. Compte tenu d'un horaire hebdomadaire de 42 heures, d'un taux d'activité de 50 % et d'un abattement de 20 %, il en résultait un degré d'invalidité de 57.5 % dans la sphère professionnelle; eu égard à la répartition entre les domaines d'activité et à l'empêchement dans les activités ménagères, le taux d'invalidité global était de 52.7 %, ouvrant le droit à une demi-rente.</w:t>
      </w:r>
    </w:p>
    <w:p>
      <w:r>
        <w:rPr>
          <w:b/>
        </w:rPr>
        <w:t>E. 3.2</w:t>
      </w:r>
    </w:p>
    <w:p>
      <w:r>
        <w:t>Le recourant soutient que le tableau TA1 de l'ESS, secteur des services, niveau 4, ne saurait servir de référence en l'espèce: de nombreuses activités qui y sont répertoriées seraient incompatibles avec les limitations fonctionnelles de l'intimée. C'est bien plutôt le tableau TA7, secteur 22, secrétariat, niveau 4 - correspondant à l'activité pratiquée par l'intimée avant la survenance de l'invalidité - qui devrait servir de base à la détermination du revenu d'invalide. En prenant en compte la durée normale de travail hebdomadaire en 2008, soit 41.6 heures, un taux d'activité de 50 % et un abattement de 20 %, il en résulterait un taux d'invalidité dans la sphère professionnelle de 36 % et un taux d'invalidité global de 43 %, ouvrant le droit à un quart de rente.</w:t>
      </w:r>
    </w:p>
    <w:p>
      <w:r>
        <w:rPr>
          <w:b/>
        </w:rPr>
        <w:t>E. 3.3</w:t>
      </w:r>
    </w:p>
    <w:p>
      <w:r>
        <w:t>Selon l'intimée, c'est à bon droit que les premiers juges auraient fixé le salaire d'invalide en se basant sur l'ESS 2008 TA1, secteur des services, niveau 4. Il aurait été également possible de se fonder sur le salaire ressortant de l'ESS 2008 TA7, secteur des services, niveau 4, qui comprend une palette d'activités plus large. Il en découlerait un taux d'invalidité global de 52 % si bien que, dans ce cas également, elle aurait droit à une demi-rente. Enfin, la mention par les premiers juges d'une durée hebdomadaire de travail de 42 au lieu de 41.6 heures ne serait qu'un lapsus calami dépourvu de conséquences: en effet, l'instance cantonale avait bien utilisé ce dernier chiffre pour effectuer son calcul.</w:t>
      </w:r>
    </w:p>
    <w:p>
      <w:r>
        <w:rPr>
          <w:b/>
        </w:rPr>
        <w:t>E. 4</w:t>
      </w:r>
    </w:p>
    <w:p>
      <w:r>
        <w:t>La solution retenue par les premiers juges ne peut être suivie.</w:t>
      </w:r>
    </w:p>
    <w:p>
      <w:r>
        <w:rPr>
          <w:b/>
        </w:rPr>
        <w:t>E. 4.1</w:t>
      </w:r>
    </w:p>
    <w:p>
      <w:r>
        <w:t>Le revenu d'invalide doit être déterminé de la manière la plus concrète possible, si bien qu'il y a lieu de se référer en premier lieu à la situation professionnelle et économique dans laquelle se trouve l'assuré invalide ( ATF 135 V 297 consid. 5. 2 p. 301). Il n'est pas nécessaire d'avoir recours aux valeurs moyennes résultant des données statistiques lorsque l'assuré est en mesure, malgré son handicap, d'exercer - fût-ce avec une diminution de rendement - l'activité pratiquée antérieurement (arrêt I 733/99 du 31 mai 2000 consid. 4b).</w:t>
      </w:r>
    </w:p>
    <w:p>
      <w:r>
        <w:rPr>
          <w:b/>
        </w:rPr>
        <w:t>E. 4.2</w:t>
      </w:r>
    </w:p>
    <w:p>
      <w:r>
        <w:t>L'instance cantonale a constaté, de manière à lier le Tribunal fédéral, que l'intimée était capable de travailler dès février 2009 à 50 % dans l'activité habituelle de secrétaire, exercée précédemment à 80 %. L'intimée ayant été licenciée avec effet au 30 septembre 2009, elle était encore liée par des rapports de travail à la cave et domaine X.________ SA le 1er mai 2009 - date de la modification de son droit aux prestations. Dès lors, le revenu d'invalide aurait dû être calculé en fonction de l'activité habituelle et du revenu réalisé effectivement auprès de cet employeur. Il ressort des données fournies par la société précitée que le salaire de l'intimée s'élevait pour un taux d'activité de 80 % à 48'000 fr. Compte tenu d'une capacité résiduelle de travail de 50 %, ce montant correspond à un revenu de 30'000 fr. ([48'000 x 50] : 80). Il en résulte un taux d'invalidité dans l'activité lucrative de 37.5 % ([48'000 - 30'000] : 48'000), qui vu la répartition des secteurs d'activité, doit être fixé à 30 % ([37.5 x 80] : 100). S'y ajoute un taux d'invalidité de 6.68%, dans la sphère ménagère ([33.4 x 20] :100) portant à 36.68 %, arrondi à 37 % le taux d'invalidité global, insuffisant pour ouvrir le droit à une rente. Cependant, le Tribunal fédéral ne pouvant pas aller au-delà des conclusions des parties ( art. 107 al. 1 LTF ), il ne saurait en l'occurrence reconnaître à l'intimée moins que le quart de rente auquel conclut le recourant.</w:t>
      </w:r>
    </w:p>
    <w:p>
      <w:r>
        <w:rPr>
          <w:b/>
        </w:rPr>
        <w:t>E. 4.3</w:t>
      </w:r>
    </w:p>
    <w:p>
      <w:r>
        <w:t>Le recours aux données statistiques d'une manière correcte ne permettrait pas d'arriver à une autre solution. Dans les conclusions à leur examen clinique, les docteurs G.________ et L.________ ont retenu une capacité de travail de 50 % dans d'autres activités que celle de secrétaire; toutefois, une lecture attentive de leur rapport montre bien qu'ils considèrent cette activité comme la plus ou la mieux adaptée à la situation de l'intimée. En considérant que celle-ci était âgée de 59 ans au moment déterminant, qu'elle avait exercé en dernier lieu et pendant dix ans la profession de secrétaire et qu'elle est toujours à même de l'exercer à raison de 50 %, la proposition du recourant pour fixer le revenu d'invalide de se référer au salaire découlant de l'ESS 2008, TA7, secteur 22 (secrétariat, travaux de chancellerie), niveau 4 - et non à celui découlant de l'ESS 2008 TA1, secteur des services, qui comporte de très nombreuses activités inaccessibles à l'intimée au regard de ses limitations fonctionnelles - apparaît justifiée. Compte tenu d'un revenu statistique ESS 2008 tel que décrit, de 5'285 fr. par mois pour une durée de travail hebdomadaire de 40 heures, il en résulte, pour une durée de travail hebdomadaire normale de 41.6 heures (cf. OFS, La statistique de la durée normale du travail dans les entreprises selon la division économique, en heures par semaine, pour la période de 1990 à 2010, http://www.bfs.admin.ch consulté le 9 janvier 2012), un salaire annuel de 65'957 fr. (5'285 x 1.04 x 12) pour un plein temps. Au vu d'un taux d'activité de 50 % et d'un abattement de 20 %, le revenu d'invalide se monterait à 26'383 fr. ([65'957 : 2] x [8: 10]). Le revenu sans invalidité s'élevant à 48'000 fr., la perte de gain avoisine 21'617 fr., soit 45 % ([21'617 x 100] : 48'000); le taux d'invalidité dans la sphère professionnelle est dès lors de 36 % ([45 x 80]: 100). En y ajoutant les 7 % d'empêchement dans la sphère ménagère (cf. supra consid. 3.1), le taux d'invalidité global de 43 %, ouvre le droit à un quart de rente.</w:t>
      </w:r>
    </w:p>
    <w:p>
      <w:r>
        <w:rPr>
          <w:b/>
        </w:rPr>
        <w:t>E. 5</w:t>
      </w:r>
    </w:p>
    <w:p>
      <w:r>
        <w:t>Il suit de ce qui précède que le recours est bien fondé.</w:t>
      </w:r>
    </w:p>
    <w:p>
      <w:r>
        <w:t>L'intimée, qui succombe, doit supporter les frais judiciaires ( art. 66 al. 1 LTF ). Elle a cependant déposé une demande d'assistance judiciaire. Vu qu'elle émarge à l'aide sociale, elle en remplit les conditions ( art. 64 al. 1 LTF ). Elle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