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9C_599/2010 vom 29. November 2010</w:t>
      </w:r>
    </w:p>
    <w:p>
      <w:r>
        <w:t>Bundesgericht, 2010-11-29, FR</w:t>
      </w:r>
    </w:p>
    <w:p>
      <w:r>
        <w:rPr>
          <w:b/>
        </w:rPr>
        <w:t xml:space="preserve">Quelle: </w:t>
      </w:r>
      <w:r>
        <w:t>https://mcp.opencaselaw.ch/entscheid/bger_9C_599_2010</w:t>
      </w:r>
    </w:p>
    <w:p>
      <w:r>
        <w:t>FR: TF 9C_599/2010 du 29 novembre 2010</w:t>
      </w:r>
    </w:p>
    <w:p>
      <w:r>
        <w:t>IT: TF 9C_599/2010 del 29 novembre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w:t>
      </w:r>
    </w:p>
    <w:p>
      <w:r>
        <w:rPr>
          <w:b/>
        </w:rPr>
        <w:t>E. 2.1</w:t>
      </w:r>
    </w:p>
    <w:p>
      <w:r>
        <w:t>Les conclusions de la recourante tendent à l'annulation du jugement entrepris. Il ressort cependant de la motivation de son recours qu'elle ne remet pas en cause le refus du droit à une rente d'invalidité au-delà du 31 mai 2008, que l'autorité de première instance a confirmé en rejetant le recours. Elle reproche en revanche aux premiers juges d'avoir violé son droit d'être entendue et commis un déni de justice formel en omettant de statuer sur son droit à des mesures de réadaptation professionnelle.</w:t>
      </w:r>
    </w:p>
    <w:p>
      <w:r>
        <w:rPr>
          <w:b/>
        </w:rPr>
        <w:t>E. 2.2</w:t>
      </w:r>
    </w:p>
    <w:p>
      <w:r>
        <w:t>Selon la jurisprudence, commet un déni de justice formel et viole l' art. 29 al. 1 Cst. l'autorité qui ne statue pas ou n'entre pas en matière sur un recours ou un grief qui lui est soumis, alors qu'elle devrait le faire ( ATF 117 Ia 116 consid. 3a p. 117/118 et les références). L'interdiction du déni de justice est un droit de nature formelle dont la violation entraîne l'annulation de la décision attaquée, indépendamment du sort du recours sur le fond ( ATF 121 I 230 consid. 2a p. 232 et les références).</w:t>
      </w:r>
    </w:p>
    <w:p>
      <w:r>
        <w:rPr>
          <w:b/>
        </w:rPr>
        <w:t>E. 2.3</w:t>
      </w:r>
    </w:p>
    <w:p>
      <w:r>
        <w:t>En première instance, l'assurée a conclu, d'une part, à l'octroi d'une rente d'invalidité et, d'autre part, à l'allocation de mesures d'ordre professionnel, prétentions que lui avait refusées l'intimé. Les premiers juges ont statué sur son droit à une rente; ils ont en revanche omis de se prononcer sur le second point soulevé par la recourante, lequel ne semblait pas d'emblée mal fondé au regard de la perte de gain finalement retenue par la juridiction cantonale (de 10 à 20 %). En ne statuant pas sur la prétention de l'assurée à des mesures d'ordre professionnel, la juridiction de première instance a dès lors commis un déni de justice formel. Il convient donc de lui renvoyer la cause pour qu'elle se prononce sur ce point.</w:t>
      </w:r>
    </w:p>
    <w:p>
      <w:r>
        <w:rPr>
          <w:b/>
        </w:rPr>
        <w:t>E. 3</w:t>
      </w:r>
    </w:p>
    <w:p>
      <w:r>
        <w:t>Vu l'issue du litige, la recourante obtient gain de cause, de sorte que l'intimé doit en principe supporter les frais de la procédure. Cependant, en ne statuant que sur une partie des conclusions qui lui étaient soumises, le Tribunal cantonal des assurances sociales a commis un déni de justice formel, ce qui justifie de mettre les frais de justice et les dépens de la recourante à la charge de la République et canton de Genève en lieu et place de l'intimé ( art. 66 al. 3 LTF ; ATF 133 V 402 consid. 5 p. 407 et les arrêts cités). La demande d'assistance judiciaire de l'assurée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