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9C_598/2012 vom 17. September 2012</w:t>
      </w:r>
    </w:p>
    <w:p>
      <w:r>
        <w:t>Bundesgericht, 2012-09-17, DE</w:t>
      </w:r>
    </w:p>
    <w:p>
      <w:r>
        <w:rPr>
          <w:b/>
        </w:rPr>
        <w:t xml:space="preserve">Quelle: </w:t>
      </w:r>
      <w:r>
        <w:t>https://mcp.opencaselaw.ch/entscheid/bger_9C_598_2012</w:t>
      </w:r>
    </w:p>
    <w:p>
      <w:r>
        <w:t>FR: TF 9C_598/2012 du 17 septembre 2012</w:t>
      </w:r>
    </w:p>
    <w:p>
      <w:r>
        <w:t>IT: TF 9C_598/2012 del 17 settembre 2012</w:t>
      </w:r>
    </w:p>
    <w:p>
      <w:pPr>
        <w:pStyle w:val="Heading2"/>
      </w:pPr>
      <w:r>
        <w:t>Erwägungen</w:t>
      </w:r>
    </w:p>
    <w:p>
      <w:r>
        <w:rPr>
          <w:b/>
        </w:rPr>
        <w:t>E. 1</w:t>
      </w:r>
    </w:p>
    <w:p>
      <w:r>
        <w:t>Verfügungen über die aufschiebende Wirkung sind Zwischenverfügungen, gegen welche die Beschwerde an das Bundesgericht nur unter den Voraussetzungen von Art. 93 BGG zulässig ist. Die Frage, ob im vorliegenden Fall ein nicht wieder gutzumachender Nachteil ( Art. 93 Abs. 1 lit. a BGG ) gegeben sei, kann indes offen bleiben: Verfügungen über die aufschiebende Wirkung stellen Entscheide über vorsorgliche Massnahmen im Sinne von Art. 98 BGG dar; mit der dagegen erhobenen Beschwerde kann nur die Verletzung verfassungsmässiger Rechte gerügt werden. Das Bundesgericht prüft die Verletzung von verfassungsmässigen Rechten nur insofern, als eine solche Rüge in der Beschwerde vorgebracht und begründet worden ist ( Art. 106 Abs. 2 BGG ). Andernfalls wird auf die Beschwerde nicht eingetreten (SVR 2007 IV Nr. 43 S. 143, 9C_191/2007).</w:t>
      </w:r>
    </w:p>
    <w:p>
      <w:r>
        <w:rPr>
          <w:b/>
        </w:rPr>
        <w:t>E. 2</w:t>
      </w:r>
    </w:p>
    <w:p>
      <w:r>
        <w:t>In der Beschwerde wird nicht dargelegt, dass und inwiefern der angefochtene Entscheid verfassungsmässige Rechte verletzt. Aus diesem Grund ist auf das Rechtsmittel im vereinfachten Verfahren ohne Schriftenwechsel nicht einzutreten ( Art. 108 Abs. 1 lit. b BGG ).</w:t>
      </w:r>
    </w:p>
    <w:p>
      <w:r>
        <w:rPr>
          <w:b/>
        </w:rPr>
        <w:t>E. 3</w:t>
      </w:r>
    </w:p>
    <w:p>
      <w:r>
        <w:t>Mit diesem Entscheid wird das Gesuch um aufschiebende Wirkung der Beschwerde im letztinstanzlichen Verfahren gegenstandslos.</w:t>
      </w:r>
    </w:p>
    <w:p>
      <w:r>
        <w:rPr>
          <w:b/>
        </w:rPr>
        <w:t>E. 4</w:t>
      </w:r>
    </w:p>
    <w:p>
      <w:r>
        <w:t>Mit Blick auf die Gründe, die zum Nichteintreten in diesem Zwischenverfahren führen, hat die Beschwerdeführerin infolge Aussichtslosigkeit des Rechtsmittels keinen Anspruch auf unentgeltliche Rechtspflege nach Art. 64 Abs. 1 BGG . 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