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9C_596/2012 vom 30. November 2012</w:t>
      </w:r>
    </w:p>
    <w:p>
      <w:r>
        <w:t>Bundesgericht, 2012-11-30, DE</w:t>
      </w:r>
    </w:p>
    <w:p>
      <w:r>
        <w:rPr>
          <w:b/>
        </w:rPr>
        <w:t xml:space="preserve">Quelle: </w:t>
      </w:r>
      <w:r>
        <w:t>https://mcp.opencaselaw.ch/entscheid/bger_9C_596_2012</w:t>
      </w:r>
    </w:p>
    <w:p>
      <w:r>
        <w:t>FR: TF 9C_596/2012 du 30 novembre 2012</w:t>
      </w:r>
    </w:p>
    <w:p>
      <w:r>
        <w:t>IT: TF 9C_596/2012 del 30 novembre 2012</w:t>
      </w:r>
    </w:p>
    <w:p>
      <w:pPr>
        <w:pStyle w:val="Heading2"/>
      </w:pPr>
      <w:r>
        <w:t>Erwägungen</w:t>
      </w:r>
    </w:p>
    <w:p>
      <w:r>
        <w:rPr>
          <w:b/>
        </w:rPr>
        <w:t>E. 1</w:t>
      </w:r>
    </w:p>
    <w:p>
      <w:r>
        <w:t>Mit dem Erlass dieses Urteils erübrigt sich ein Entscheid über das Gesuch um aufschiebende Wirkung.</w:t>
      </w:r>
    </w:p>
    <w:p>
      <w:r>
        <w:rPr>
          <w:b/>
        </w:rPr>
        <w:t>E. 2</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 95 beruht ( Art. 105 Abs. 2 BGG ).</w:t>
      </w:r>
    </w:p>
    <w:p>
      <w:r>
        <w:rPr>
          <w:b/>
        </w:rPr>
        <w:t>E. 3</w:t>
      </w:r>
    </w:p>
    <w:p>
      <w:r>
        <w:t>Streitig und zu prüfen ist, ob das kantonale Gericht bei der Ermittlung des Invaliditätsgrades des Versicherten gemäss BGE 126 V 75 zu Recht einen leidensbedingten Abzug vom Tabellenlohn von 10 % berücksichtigt hat. Ob ein behinderungsbedingt oder anderweitig begründeter Abzug vom statistisch ermittelten Invalideneinkommen vorzunehmen ist, ist eine vom Bundesgericht frei überprüfbare Rechtsfrage ( Art. 106 Abs. 1 BGG ; BGE 132 V 393 Erw. 3.3; vgl. auch Urteil 9C_40/2011 vom 1. April 2011 E. 2.1.2).</w:t>
      </w:r>
    </w:p>
    <w:p>
      <w:r>
        <w:rPr>
          <w:b/>
        </w:rPr>
        <w:t>E. 3.1</w:t>
      </w:r>
    </w:p>
    <w:p>
      <w:r>
        <w:t>Die Vorinstanz erwog, beim vorzunehmenden Einkommensvergleich sei dem Valideneinkommen von Fr. 67'713.- ein Invalideneinkommen von Fr. 36'100.- (Arbeitsfähigkeitsgrad von 60 %) gegenüberzustellen. Es könne nicht von einem überproportionalen Lohnnachteil bei Teilzeitarbeit ausgegangen werden. Allerdings weise der Beschwerdeführer die üblichen Konkurrenznachteile eines gesundheitlich angeschlagenen Arbeitnehmers auf (Unfähigkeit, Überstunden zu leisten bzw. zu mehr als 60 % zu arbeiten, Unfähigkeit, an einem nicht adaptierten Arbeitsplatz eingesetzt zu werden, reale oder auch nur befürchtete Gefahr überproportionaler Krankheitsabsenzen usw.), so dass sich ein Abzug vom Tabellenlohn rechtfertige. Die Nachteile seien aber entgegen der Auffassung des Beschwerdeführers bei weitem nicht so ausgeprägt, dass sie den Maximalabzug von 25 % rechtfertigen würden. Ein zusätzlicher Abzug von 10 % erscheine als angemessen. Das zumutbare Invalideneinkommen betrage somit Fr. 32'490.-. Bei einem Valideneinkommen von Fr. 67'713.- resultiere eine behinderungsbedingte Erwerbseinbusse von Fr. 35'223.-. Das entspreche einem Invaliditätsgrad von abgerundet 52 %. Die Beschwerde sei demnach gutzuheissen, und der Beschwerdeführer habe mit Wirkung ab September 2007 Anspruch auf eine halbe Invalidenrente.</w:t>
      </w:r>
    </w:p>
    <w:p>
      <w:r>
        <w:rPr>
          <w:b/>
        </w:rPr>
        <w:t>E. 3.2</w:t>
      </w:r>
    </w:p>
    <w:p>
      <w:r>
        <w:t>Die beschwerdeführende IV-Stelle legt dar, im Gegensatz zur Vorinstanz würden sich ihre Verfügungen vom 24. März und 7. Mai 2010 auf einen Invaliditätsgrad von 48 % mit Anspruch auf eine Viertelsrente ab September 2007 stützen, wobei der massgebliche Invaliditätsgrad auf einem Invalideneinkommen beruhe, welches ohne einen Abzug vom Tabellenlohn bemessen wurde. Die Vorinstanz anerkenne die Rechtsprechung, wonach bei einer grundsätzlich vollzeitlich arbeitsfähigen, aber krankheitsbedingt lediglich reduziert leistungsfähigen versicherten Person kein über die Berücksichtigung der eingeschränkten Leistungsfähigkeit und damit des Rendements hinaus gehender Abzug gerechtfertigt ist. Die von der Vorinstanz zur Begründung eines 10%igen Abzuges erwähnten Umstände würden jedoch ebenfalls keinen Abzug rechtfertigen. Eine angeblich gesundheitlich bedingte geringere Flexibilität bei der Einsetzbarkeit könne rechtsprechungsgemäss nicht als abzugsrelevant anerkannt werden. Stellen, welche eine solche Flexibilität verlangen, fielen vorweg ausser Betracht, ohne dass gesagt werden könne, das aufgrund des Anforderungs- und Belastungsprofils in Frage kommende Arbeitsmarktsegment werde dadurch entscheidend verkleinert (SVR 2010 IV Nr. 28 E. 2.3.3, 9C_708/2009). Auch ein angeblich höheres Risiko, aus krankheitsbedingten Gründen der Arbeit fernbleiben zu müssen, könne nicht als Abzugsgrund anerkannt werden. Anzumerken sei, dass mit der Anerkennung einer 60%igen Restarbeitsfähigkeit der leidensbedingten Beeinträchtigung des Beschwerdegegners bereits hinreichend Rechnung getragen wurde; eine weitergehende Anrechnung beim leidensbedingten Abzug lasse sich nicht halten, da sie einer unzulässigen doppelten Berücksichtigung derselben Einschränkung gleichkäme. Somit habe die Vorinstanz den 10%igen Abzug vom Tabellenlohn in Verletzung von Bundesrecht vorgenommen.</w:t>
      </w:r>
    </w:p>
    <w:p>
      <w:r>
        <w:rPr>
          <w:b/>
        </w:rPr>
        <w:t>E. 3.3</w:t>
      </w:r>
    </w:p>
    <w:p>
      <w:r>
        <w:t>Die Einwände der Beschwerdeführerin sind stichhaltig. Die von der Vorinstanz dargelegten Nachteile sind nicht direkt behinderungsbedingter Art und rechtfertigen grundsätzlich keinen (behinderungsbedingten) Abzug vom Tabellenlohn. Im vorliegenden Fall verhält es sich nicht anders. Weder begründet die Vorinstanz noch ist - im Sinne der Ausführungen der IV-Stelle - ersichtlich, dass das auf Grund des Anforderungs- und Belastungsprofils in Frage kommende Arbeitsmarktsegment durch die fraglichen Umstände entscheidend verkleinert wird (SVR 2010 IV Nr. 28 S. 87, 9C_708/2009 E. 2.3; Urteil 9C_11/2012 vom 28. Februar 2012 E. 2.2.4). Die Beschwerde ist somit wegen Bundesrechtswidrigkeit des kantonalen Entscheides begründet.</w:t>
      </w:r>
    </w:p>
    <w:p>
      <w:r>
        <w:rPr>
          <w:b/>
        </w:rPr>
        <w:t>E. 4</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