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594/2018 vom 6. Mai 2019</w:t>
      </w:r>
    </w:p>
    <w:p>
      <w:r>
        <w:t>Bundesgericht, 2019-05-06, DE</w:t>
      </w:r>
    </w:p>
    <w:p>
      <w:r>
        <w:rPr>
          <w:b/>
        </w:rPr>
        <w:t xml:space="preserve">Quelle: </w:t>
      </w:r>
      <w:r>
        <w:t>https://mcp.opencaselaw.ch/entscheid/bger_9C_594_2018</w:t>
      </w:r>
    </w:p>
    <w:p>
      <w:r>
        <w:t>FR: TF 9C 594/2018 du 6 mai 2019</w:t>
      </w:r>
    </w:p>
    <w:p>
      <w:r>
        <w:t>IT: TF 9C 594/2018 del 6 maggio 2019</w:t>
      </w:r>
    </w:p>
    <w:p>
      <w:pPr>
        <w:pStyle w:val="Heading2"/>
      </w:pPr>
      <w:r>
        <w:t>Regeste</w:t>
      </w:r>
    </w:p>
    <w:p>
      <w:r>
        <w:t>Invalidenversicherung (Invalidenrente, Neuanmeldung) | Invalidenversicherung</w:t>
      </w:r>
    </w:p>
    <w:p>
      <w:pPr>
        <w:pStyle w:val="Heading2"/>
      </w:pPr>
      <w:r>
        <w:t>Erwägungen</w:t>
      </w:r>
    </w:p>
    <w:p>
      <w:r>
        <w:rPr>
          <w:b/>
        </w:rPr>
        <w:t>E. 1.1</w:t>
      </w:r>
    </w:p>
    <w:p>
      <w:r>
        <w:t>Streitgegenstand im vorliegenden Verfahren ist ( BGE 134 V 418 E. 5.2.1 S. 426; 131 V 164 E. 2.1; 125 V 413 E. 1a S. 414), ob der angefochtene Entscheid vom 22. Juni 2018, der die Verfügung vom 11. April 2017 bestätigte, Bundesrecht verletzt, indem die Eingabe der Beschwerdeführerin von Dezember 2015 als Neuanmeldung qualifiziert und darauf nicht eingetreten worden war. Der beschwerdeführerische Antrag auf eine IV-Rente liegt somit ausserhalb des durch den vorinstanzlichen Entscheid bestimmten Anfechtungsgegenstandes. Aus der Beschwerdebegründung geht jedoch hervor, dass die Beschwerdeführerin generell eine materiell-rechtliche Prüfung des Rentenanspruchs durch die IV-Stelle fordert. Insoweit ist auf die Beschwerde einzutreten.</w:t>
      </w:r>
    </w:p>
    <w:p>
      <w:r>
        <w:rPr>
          <w:b/>
        </w:rPr>
        <w:t>E. 1.2</w:t>
      </w:r>
    </w:p>
    <w:p>
      <w:r>
        <w:t>Im Übrigen wird angesichts des Verfahrensausgangs offengelassen, inwiefern auf die anderen Rechtsbegehren mit Blick auf Art. 99 Abs. 2 BGG sowie den Anfechtungsgegenstand einzutreten ist. Ebenfalls kann darauf verzichtet werden zu prüfen, ob die Vorbringen der Beschwerdeführerin gegen die Rechtsbeständigkeit der Verfügungen vom 11. Februar 2015 bzw. 4. Juni 2015 auf unzulässigen Noven beruhen ( Art. 99 Abs. 1 BGG ), ist gemäss dem nachfolgend Erwogenen (E. 3) doch ohnehin eine massgebende Veränderung seit der letzten materiellen Anspruchsprüfung mit der Verfügung vom 11. Februar 2015 glaubhaft.</w:t>
      </w:r>
    </w:p>
    <w:p>
      <w:r>
        <w:rPr>
          <w:b/>
        </w:rPr>
        <w:t>E. 2.1</w:t>
      </w:r>
    </w:p>
    <w:p>
      <w:r>
        <w:t>Die Neuanmeldung wird - analog einem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2016 IV Nr. 57 S. 188, 9C_367/2016 E. 2.2 mit Hinweisen).</w:t>
      </w:r>
    </w:p>
    <w:p>
      <w:r>
        <w:rPr>
          <w:b/>
        </w:rPr>
        <w:t>E. 2.2</w:t>
      </w:r>
    </w:p>
    <w:p>
      <w:r>
        <w:t>Ob eine anspruchserhebliche Änderung im Sinne von Art. 87 Abs. 3 in Verbindung mit Abs. 2 IVV glaubhaft gemacht ist, ist eine Tatfrage (Urteil 8C_325/2016 vom 31. August 2016 E. 2.2 mit Hinweisen). Die diesbezügliche vorinstanzliche Sachverhaltsfeststellung kann das Bundesgericht nur berichtigen oder ergänzen, wenn sie offensichtlich unrichtig ist oder auf einer Rechtsverletzung im Sinne von Art. 95 BGG beruht und die Behebung des Mangels für den Ausgang des Verfahrens entscheidend sein kann ( Art. 97 Abs. 1 und Art. 105 Abs. 2 BGG ). Frei zu beurteilende Rechtsfrage ist hingegen, wie hohe Anforderungen an das Glaubhaftmachen im Sinne von Art. 87 Abs. 3 IVV zu stellen sind (Urteil 8C_325/2016 vom 31. August 2016 E. 2.2 mit Hinweisen).</w:t>
      </w:r>
    </w:p>
    <w:p>
      <w:r>
        <w:rPr>
          <w:b/>
        </w:rPr>
        <w:t>E. 3.1</w:t>
      </w:r>
    </w:p>
    <w:p>
      <w:r>
        <w:t>Die IV-Stelle hielt in der Verfügung vom 11. Februar 2015 fest, die Beschwerdeführerin sei ab dem 1. Dezember 2014 in ihrem angestammten Beruf (Produktionsmitarbeiterin bei der B.________ AG) wieder voll arbeitsfähig; es liege keine Invalidität im Sinne von Art. 8 ATSG vor. Die Vorinstanz kam im angefochtenen Entscheid zum Schluss, es bestünden keine Anhaltspunkte für eine Verschlechterung des Gesundheitszustands und auch die erwerblichen Auswirkungen seien seit dieser Verfügung vom 11. Februar 2015 gleich geblieben. Im Zusammenhang mit dem Anspruch auf berufliche Massnahmen schloss das kantonale Gericht dagegen eine gesundheitlich bedingte Invalidität nicht aus. Es ist widersprüchlich einerseits von einem gleich gebliebenen Sachverhalt seit der Verfügung vom 11. Februar 2015, mit der eine Invalidität verneint worden ist, auszugehen und andererseits betreffend die beruflichen Massnahmen eine Invalidität anzunehmen. Dieser Widerspruch resultiert aus einer offensichtlich unrichtigen Rechtsanwendung durch die Vorinstanz: Gemäss dem angefochtenen Entscheid soll es der Beschwerdeführerin trotz ihrer geringen Intelligenz (weiterhin) möglich sein, ihre bisherige Tätigkeit oder einer anderen intellektuell wenig anspruchsvollen Arbeit nachzugehen. Diese Formulierung lässt offen, ob dieser Umstand nach wie vor mit dem Beweisgrad der überwiegenden Wahrscheinlichkeit gegeben ist oder ob nicht doch Anhaltspunkte vorliegen, die gegen diese Annahme sprechen.</w:t>
      </w:r>
    </w:p>
    <w:p>
      <w:r>
        <w:rPr>
          <w:b/>
        </w:rPr>
        <w:t>E. 3.2</w:t>
      </w:r>
    </w:p>
    <w:p>
      <w:r>
        <w:t>Die Beschwerdeführerin bestreitet, vermittlungsfähig zu sein und über eine Leistungsfähigkeit in der freien Wirtschaft zu verfügen. Gemäss den Akten kündigte die B.________ AG der Beschwerdeführerin per 31. Dezember 2014. In der Folge war es dieser nicht mehr möglich, im ersten Arbeitsmarkt Fuss zu fassen. Diesbezüglich sind ab März 2015 erhebliche Probleme dokumentiert. Dr. med. C.________, Fachärztin für Psychiatrie und Psychotherapie, legte dar, die Beschwerdeführerin sei wegen der Intelligenz mit dem Bewerben überfordert, diese verstehe die Formulare nicht und sei nicht in der Lage, sich zu bewerben (Berichte vom 3. März 2015, 4. März 2015 und 21. März 2015). Das Regionale Arbeitsvermittlungszentrum (RAV) erkannte in der Folge, die Beschwerdeführerin sei nicht vermittlungsfähig, da diese nicht in der Lage sei, sich gemäss ihren Richtlinien zu bewerben. Die Akten zeigen, dass sich die vorinstanzliche Schlussfolgerung, der Beschwerdeführerin sollte es möglich sein, ihre bisherige Tätigkeit oder einer anderen intellektuell wenig anspruchsvollen Arbeit nachzugehen, im hier massgebenden Zeitpunkt nicht rechtsgenüglich erstellen lässt. Daran ändert die Stellungnahme des RAD vom 2. Februar bzw. 14. April 2016 nichts, enthält diese zu diesem Thema keine Aussage, wurde darin doch lediglich ausgeführt, der Beschwerdeführerin sei die letzte Tätigkeit in der Produktion möglich, ohne zu berücksichtigen, dass die Beschwerdeführerin diese Anstellung per 31. Dezember 2014 verloren hat (vgl. auch RAD-Stellungnahme vom 23. März 2017). Es bestehen somit konkrete Anhaltspunkte nach der Verfügung vom 11. Februar 2015, die darauf hinweisen, dass sich die erwerblichen Auswirkungen, die im Zusammenhang mit der Intelligenzminderung stehen, nach der erhaltenen Kündigung per 31. Dezember 2014 verändert haben. Die IV-Stelle hat daher auf die Neuanmeldung von Dezember 2015 einzutreten. Sie hat eine umfassende medizinische und berufliche Abklärung zu veranlassen, und gestützt darauf sind die Leistungsansprüche der Beschwerdeführerin erneut zu prüfen.</w:t>
      </w:r>
    </w:p>
    <w:p>
      <w:r>
        <w:rPr>
          <w:b/>
        </w:rPr>
        <w:t>E. 4</w:t>
      </w:r>
    </w:p>
    <w:p>
      <w:r>
        <w:t>Ausgangsgemäss hat die Beschwerdegegnerin die Gerichtskosten zu tragen ( Art. 66 Abs. 1 BGG ) und der Beschwerdeführerin eine Parteientschädigung zu bezahlen (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