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9C_593/2014 vom 8. April 2015</w:t>
      </w:r>
    </w:p>
    <w:p>
      <w:r>
        <w:t>Bundesgericht, 2015-04-08, DE</w:t>
      </w:r>
    </w:p>
    <w:p>
      <w:r>
        <w:rPr>
          <w:b/>
        </w:rPr>
        <w:t xml:space="preserve">Quelle: </w:t>
      </w:r>
      <w:r>
        <w:t>https://mcp.opencaselaw.ch/entscheid/bger_9C_593_2014</w:t>
      </w:r>
    </w:p>
    <w:p>
      <w:r>
        <w:t>FR: TF 9C_593/2014 du 8 avril 2015</w:t>
      </w:r>
    </w:p>
    <w:p>
      <w:r>
        <w:t>IT: TF 9C_593/2014 del 8 aprile 2015</w:t>
      </w:r>
    </w:p>
    <w:p>
      <w:pPr>
        <w:pStyle w:val="Heading2"/>
      </w:pPr>
      <w:r>
        <w:t>Erwägungen</w:t>
      </w:r>
    </w:p>
    <w:p>
      <w:r>
        <w:rPr>
          <w:b/>
        </w:rPr>
        <w:t>E. 1.1</w:t>
      </w:r>
    </w:p>
    <w:p>
      <w:r>
        <w:t>Es steht fest, dass es sich bei der streitbetroffenen Leistung um eine sogenannte "ausserkantonale Wahlbehandlung" im Sinne von Art. 41 Abs. 1bis KVG handelt, da die von der Beschwerdeführerin betriebene Klinik zwar auf der Spitalliste des Kantons Aargau (vgl. Art. 39 Abs. 1 lit. e KVG ), nicht aber des Wohnkantons der Patientin aufgeführt ist, und zudem die ausserkantonale Hospitalisierung nicht medizinisch begründet war (vgl. Art. 41 Abs. 3 und 3bis KVG ). Weiter spricht nichts gegen die Annahme, dass der Spitalaufenthalt medizinisch notwendig war und dem Standard der allgemeinen Abteilung ( Art. 25 Abs. 2 lit. e KVG ) entspricht.</w:t>
      </w:r>
    </w:p>
    <w:p>
      <w:r>
        <w:rPr>
          <w:b/>
        </w:rPr>
        <w:t>E. 1.2</w:t>
      </w:r>
    </w:p>
    <w:p>
      <w:r>
        <w:t>Die Vorinstanz ist der Auffassung, die ausserkantonale Wahlbehandlung stelle keine Pflichtleistung der obligatorischen Krankenpflegeversicherung (OKP) dar. Mit Kantonsgeldern dürfe keine Nichtpflichtleistung bezahlt werden. Auch im Rahmen der Austauschbefugnis gehe es nicht an, dass der Kanton ein ausserkantonales Spital über die Deckung von Kosten, die nicht durch OKP-Pflichtleistungen anfielen, subventioniere. Daher sei für die Kostenbeteiligung des Wohnkantons einer Patientin gleichwohl der KVG-Tarif des Leistungserbringers, wie er für Einwohner seines Standortkantons gilt ("Standorttarif"), massgeblich.</w:t>
      </w:r>
    </w:p>
    <w:p>
      <w:r>
        <w:rPr>
          <w:b/>
        </w:rPr>
        <w:t>E. 2.1</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 Art. 41 Abs. 1bis KVG ). Diese Bestimmung trat mit der Änderung vom 21. Dezember 2007 des Bundesgesetzes über die Krankenversicherung (KVG; Spitalfinanzierung; AS 2008 2049) auf den 1. Januar 2009 in Kraft und ist, laut den entsprechenden Übergangsbestimmungen, seit 1. Januar 2012 umzusetzen.</w:t>
      </w:r>
    </w:p>
    <w:p>
      <w:r>
        <w:t>Das Bundesgericht hat sich in E. 3.3 des zur Publikation vorgesehenen Urteils 9C_96/2014 vom 25. März 2015 erstmals einlässlich mit der Bestimmung von Art. 41 Abs. 1bis KVG befasst und in deren Auslegung entschieden, dass die ausserkantonale Wahlbehandlung - im Gegensatz zur früheren Rechtslage - der Grundversorgung zuzurechnen und als Pflichtleistung der OKP zu qualifizieren ist. Als solche untersteht sie insofern dem Tarifschutz, als dafür höchstens der KVG-Tarif des Leistungserbringers verrechnet werden darf.</w:t>
      </w:r>
    </w:p>
    <w:p>
      <w:r>
        <w:rPr>
          <w:b/>
        </w:rPr>
        <w:t>E. 2.2</w:t>
      </w:r>
    </w:p>
    <w:p>
      <w:r>
        <w:t>An dieser Rechtsprechung ändern die Vorbringen der Beschwerdeführerin, die auf weiten Strecken die abweichende Auffassung ihres Rechtsvertreters enthalten (vgl. BEAT MEYER, Ausserkantonale Wahlbehandlung - Tarifschutz und Tarifgestaltung gemäss 3. KVG-Revision, SZS 2012 S. 391 ff.), nichts. Es ist unbestritten, dass der Referenztarif (vgl. BGE 133 V 123 E. 8 S. 131 f.) des Beschwerdegegners höher ist als die von der Beschwerdeführerin geltend gemachte Pauschale. Mit Blick auf die Kostenentwicklung im Gesundheitswesen und eine möglichst freie Spitalwahl (vgl. Urteil 9C_96/2014 vom 25. März 2015 E. 3.3.2 Abs. 2 und 3) spricht nichts dagegen, dass der Wohnkanton gegebenenfalls von einem KVG-Tarif, der unter seinem Referenztarif liegt, profitieren kann. Angesichts der Rechtsnatur der umstrittenen Leistung ist auch auf die Argumentation mit der Austauschbefugnis nicht weiter einzugehen.</w:t>
      </w:r>
    </w:p>
    <w:p>
      <w:r>
        <w:t>Nach dem Gesagten hat die Vorinstanz im Ergebnis zu Recht die Tagespauschale von Fr. 655.- für massgeblich gehalten und einen weitergehenden Anspruch der Beschwerdeführerin verneint. Die Beschwerde ist unbegründet.</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