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9C_58/2024 vom 21. Februar 2024</w:t>
      </w:r>
    </w:p>
    <w:p>
      <w:r>
        <w:t>Bundesgericht, 2024-02-21, DE</w:t>
      </w:r>
    </w:p>
    <w:p>
      <w:r>
        <w:rPr>
          <w:b/>
        </w:rPr>
        <w:t xml:space="preserve">Quelle: </w:t>
      </w:r>
      <w:r>
        <w:t>https://mcp.opencaselaw.ch/entscheid/bger_9C_58_2024</w:t>
      </w:r>
    </w:p>
    <w:p>
      <w:r>
        <w:t>FR: TF 9C_58/2024 du 21 février 2024</w:t>
      </w:r>
    </w:p>
    <w:p>
      <w:r>
        <w:t>IT: TF 9C_58/2024 del 21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9C_58/2024</w:t>
      </w:r>
    </w:p>
    <w:p>
      <w:r>
        <w:t>Urteil vom 21. Februar 2024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Sozialversicherungsanstalt des Kantons Zürich, Ausgleichskasse,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das Urteil des Sozialversicherungsgerichts des Kantons Zürich vom 18. Oktober 2023 (AK.2022.00025).</w:t>
      </w:r>
    </w:p>
    <w:p>
      <w:r>
        <w:t>Nach Einsicht</w:t>
      </w:r>
    </w:p>
    <w:p>
      <w:r>
        <w:t>in die Eingabe vom 14. Dezember 2023 (Postaufgabe) gegen das Urteil des Sozialversicherungsgerichts des Kantons Zürich vom 18. Oktober 2023,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Sachverhaltsfeststellungen - soweit überhaupt beanstandet - qualifiziert unzutreffend und die darauf beruhenden Erwägungen rechtsfehlerhaft sein sollen,</w:t>
      </w:r>
    </w:p>
    <w:p>
      <w:r>
        <w:t>dass zudem der Beschwerdeführer auch auf Aufforderung im Sinne von Art. 42 Abs. 5 BGG hin keine vollständige Ausfertigung des angefochtenen Urteils eingereicht hat (vgl. Art. 42 Abs. 3 BGG ),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21. Februar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