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9C_589/2020 vom 8. Juli 2021</w:t>
      </w:r>
    </w:p>
    <w:p>
      <w:r>
        <w:t>Bundesgericht, 2021-07-08, FR</w:t>
      </w:r>
    </w:p>
    <w:p>
      <w:r>
        <w:rPr>
          <w:b/>
        </w:rPr>
        <w:t xml:space="preserve">Quelle: </w:t>
      </w:r>
      <w:r>
        <w:t>https://mcp.opencaselaw.ch/entscheid/bger_9C_589_2020</w:t>
      </w:r>
    </w:p>
    <w:p>
      <w:r>
        <w:t>FR: TF 9C_589/2020 du 8 juillet 2021</w:t>
      </w:r>
    </w:p>
    <w:p>
      <w:r>
        <w:t>IT: TF 9C_589/2020 del 8 luglio 2021</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des conclusions et motifs du recours, le litige porte uniquement sur la question de savoir si le droit de l'intimé à la restitution des rentes versées du 1er septembre 2016 au 30 novembre 2018 était périmé. Le caractère indu de ces prestations, dont le droit avait été suspendu avec effet rétroactif par la décision passée en force du 26 novembre 2018, n'est pas contesté.</w:t>
      </w:r>
    </w:p>
    <w:p>
      <w:r>
        <w:rPr>
          <w:b/>
        </w:rPr>
        <w:t>E. 2.2</w:t>
      </w:r>
    </w:p>
    <w:p>
      <w:r>
        <w:t>A la suite des premiers juges, on rappellera que les prestations indûment touchées doivent être restituées (art. 25 al. 1, 1ère phrase, LPGA). Le droit de demander la restitution s'éteint un an après le moment où l'institution d'assurance a eu connaissance du fait, mais au plus tard cinq ans après le versement de la prestation (art. 25 al. 2, 1ère phrase, LPGA, dans sa teneur en vigueur jusqu'au 31 décembre 2020). Il s'agit de délais (relatif et absolu) de péremption ( ATF 133 V 579 consid. 4.1), qui doivent être examinés d'office. Selon la jurisprudence, par les termes "après le moment où l'institution d'assurance a eu connaissance du fait", il faut comprendre le moment où l'autorité, en faisant preuve de l'attention raisonnablement exigible, aurait dû s'apercevoir que les conditions en vue d'une restitution étaient réunies ou, en d'autres termes, le moment où l'assureur aurait dû se rendre compte du principe, de l'étendue et de l'identité du débiteur de la créance en restitution ( ATF 140 V 521 consid. 2.1). L'administration doit disposer de tous les éléments qui sont décisifs dans le cas concret et dont la connaissance fonde - quant à son principe et à son étendue - la créance en restitution à l'encontre de la personne tenue à restitution (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(arrêt 9C_96/2020 du 27 juillet 2020 consid. 2.2 et les références).</w:t>
      </w:r>
    </w:p>
    <w:p>
      <w:r>
        <w:rPr>
          <w:b/>
        </w:rPr>
        <w:t>E. 2.3</w:t>
      </w:r>
    </w:p>
    <w:p>
      <w:r>
        <w:t>Les constatations de l'autorité judiciaire de première instance sur ce que les parties savaient ou ne savaient pas à un certain moment relèvent d'une question de fait (arrêt 9C_96/2020 précité, consid. 2.3 et la référence), que le Tribunal fédéral examine avec un pouvoir limité (consid. 1 supra).</w:t>
      </w:r>
    </w:p>
    <w:p>
      <w:r>
        <w:rPr>
          <w:b/>
        </w:rPr>
        <w:t>E. 3.1</w:t>
      </w:r>
    </w:p>
    <w:p>
      <w:r>
        <w:t>La juridiction cantonale a constaté que le recourant n'exécutait pas une peine ou une mesure pénale en août 2015, mais qu'il se trouvait à cette époque en détention préventive (ou provisoire). Elle a considéré que cette situation n'entraînait pas en soi la suspension de la rente, même si la pratique ( ATF 133 V 1 consid. 4.2; arrêt 8C_176/2007 du 25 octobre 2007 consid. 4) et la doctrine (UELI KIESER, ATSG Kommentar, 2020, art. 21 n. 171-173, 190) ne semblent pas unanimes quant à l'interprétation de l' art. 21 al. 5 LPGA concernant la suspension du paiement des prestations pour perte de gain lors de l'exécution d'une peine ou d'une mesure. Compte tenu de cette controverse, elle a admis qu'on ne pouvait pas imputer une erreur manifeste à l'intimé qui n'avait pas entrepris d'investigations après avoir reçu le questionnaire de révision en août 2015, à défaut d'autres informations émanant notamment du recourant. De plus, selon l'instance précédente, l'expérience montre que l'ouverture d'une procédure pénale et une détention provisoire, dans le cadre d'un accident, ne débouchent pas forcément sur une détention de longue durée qui, pour une personne non invalide, remet en cause la possibilité d'exercer une activité lucrative. En outre, depuis la communication du 31 août 2015 relative au maintien de la rente - moment à partir duquel l'intimé aurait, le cas échéant, commis l'erreur à l'origine des prestations indûment versées -, rien ne permettait de supposer que l'intimé avait reçu de nouveaux renseignements faisant penser à une incarcération prolongée avant l'appel téléphonique du 2 octobre 2018. Cette date marquait ainsi, au plus tôt, le début du délai de péremption au sens de l'art. 25 al. 2 LGPA, de sorte que le droit de l'intimé de demander la restitution n'était pas éteint lorsqu'il avait rendu sa décision du 15 mars 2019.</w:t>
      </w:r>
    </w:p>
    <w:p>
      <w:r>
        <w:rPr>
          <w:b/>
        </w:rPr>
        <w:t>E. 3.2</w:t>
      </w:r>
    </w:p>
    <w:p>
      <w:r>
        <w:t>Le recourant se prévaut d'une constatation arbitraire des faits et d'une violation de l' art. 25 al. 2 LPGA par l'instance précédente, en ce qu'elle a fixé la date déterminante au plus tôt au 2 octobre 2018. Il soutient que le recoupement de trois courriers reçus par l'intimé le 21 avril 2015 du Ministère public concerné, le 11 août 2015 de sa part et le 28 août 2015 de la Caisse nationale suisse d'assurance en cas d'accidents (ci-après: CNA), aurait indéniablement dû éveiller les soupçons de leur destinataire quant à une éventuelle restitution, puisque la durée de la détention préventive entraînait la suspension du droit à la rente d'invalidité. A son avis, on aurait raisonnablement pu attendre de l'intimé qu'il procédât dans un délai convenable, soit dans le courant de la fin de l'année 2015, à des investigations complémentaires afin d'établir le bien-fondé d'une potentielle demande en restitution. Il en déduit qu'en rendant sa décision le 15 mars 2019, l'intimé n'a pas agi dans le délai relatif de péremption d'une année, de sorte que le droit à la restitution est périmé.</w:t>
      </w:r>
    </w:p>
    <w:p>
      <w:r>
        <w:rPr>
          <w:b/>
        </w:rPr>
        <w:t>E. 4</w:t>
      </w:r>
    </w:p>
    <w:p>
      <w:r>
        <w:t>Les demandes du Ministère public jurassien et de la CNA ne faisaient en l'espèce pas mention d'une détention, mais uniquement et respectivement d'une "enquête pénale" et d'un "événement du xx.yy.zzzz", sans autres précisions. Ces deux requêtes ne comprenaient donc aucun indice en relation avec une éventuelle détention de l'assuré et ne justifiaient pas la mise en oeuvre d'investigations par l'intimé sous l'angle de l' art. 25 al. 2 LPGA .</w:t>
      </w:r>
    </w:p>
    <w:p>
      <w:r>
        <w:t>La seule information concrète transmise à l'intimé en 2015 relative à une incarcération émanait du recourant qui lui avait communiqué, dans le questionnaire du 11 août 2015, qu'il était en détention préventive à la prison de B.________. Or, le recourant n'indique pas en quoi le raisonnement de l'autorité précédente, selon lequel l'expérience montre que l'ouverture d'une procédure pénale et une détention provisoire, dans le cadre d'un accident, ne débouchent pas forcément sur une détention de longue durée, serait arbitraire. Il se limite à cet égard à rappeler les principes jurisprudentiels sur les conséquences générales qu'une détention supérieure à trois mois est susceptible d'avoir sur le versement de prestations pour perte de gain (par ex. ATF 133 V 1 consid. 4.2.4.2), ce qui ne lui est d'aucun secours. De plus, le recourant ne s'en prend pas aux constatations de la juridiction cantonale selon lesquelles, s'il y avait lieu d'admettre une erreur de l'intimé en août 2015, il n'existait aucun indice au dossier permettant d'admettre que l'intimé aurait dû ultérieurement avoir connaissance de l'incarcération prolongée du recourant avant le 2 octobre 2018. Il n'y a dès lors pas lieu de s'écarter de l'appréciation de la juridiction cantonale.</w:t>
      </w:r>
    </w:p>
    <w:p>
      <w:r>
        <w:t>Le recours est mal fondé.</w:t>
      </w:r>
    </w:p>
    <w:p>
      <w:r>
        <w:rPr>
          <w:b/>
        </w:rPr>
        <w:t>E. 5</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