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9C_587/2024 vom 3. Dezember 2024</w:t>
      </w:r>
    </w:p>
    <w:p>
      <w:r>
        <w:t>Bundesgericht, 2024-12-03, DE</w:t>
      </w:r>
    </w:p>
    <w:p>
      <w:r>
        <w:rPr>
          <w:b/>
        </w:rPr>
        <w:t xml:space="preserve">Quelle: </w:t>
      </w:r>
      <w:r>
        <w:t>https://mcp.opencaselaw.ch/entscheid/bger_9C_587_2024</w:t>
      </w:r>
    </w:p>
    <w:p>
      <w:r>
        <w:t>FR: TF 9C_587/2024 du 3 décembre 2024</w:t>
      </w:r>
    </w:p>
    <w:p>
      <w:r>
        <w:t>IT: TF 9C_587/2024 del 3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9C_587/2024</w:t>
      </w:r>
    </w:p>
    <w:p>
      <w:r>
        <w:t>Urteil vom 3. Dezember 2024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CSS Kranken-Versicherung AG,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Versicherungsgerichts des Kantons St. Gallen vom 29. August 2024 (KV 2023/13).</w:t>
      </w:r>
    </w:p>
    <w:p>
      <w:r>
        <w:t>Nach Einsicht</w:t>
      </w:r>
    </w:p>
    <w:p>
      <w:r>
        <w:t>in die Beschwerde vom 18. Oktober 2024 (Poststempel) gegen den Entscheid des Versicherungsgerichts des Kantons St. Gallen vom 29. August 2024,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</w:t>
      </w:r>
    </w:p>
    <w:p>
      <w:r>
        <w:t>dass das Versicherungsgericht den Beschwerdeführer in teilweiser Gutheissung seiner Beschwerde verpflichtet hat, der Beschwerdegegnerin die Krankenversicherungsprämie KVG für das Jahr 2023 im Betrag von Fr. 2'949.40 zuzüglich Verzugszinsen zu 5 % seit 31. Dezember 2022 sowie Spesen im Betrag von Fr. 55.- zu bezahlen. Dass es weiter den Rechtsvorschlag in der Betreibung Nr. ________ des Betreibungsamtes B.________ in diesem Umfang aufgehoben und die definitive Rechtsöffnung erteilt hat,</w:t>
      </w:r>
    </w:p>
    <w:p>
      <w:r>
        <w:t>dass der Beschwerdeführer mit keinem Wort auf die vorinstanzlichen Erwägungen eingeht und dartut, inwiefern diese Recht verletzen,</w:t>
      </w:r>
    </w:p>
    <w:p>
      <w:r>
        <w:t>dass die Beschwerde daher den inhaltlichen Mindestanforderungen offensichtlich nicht genügt,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auferlegt.</w:t>
      </w:r>
    </w:p>
    <w:p>
      <w:r>
        <w:t>3.</w:t>
      </w:r>
    </w:p>
    <w:p>
      <w:r>
        <w:t>Dieses Urteil wird den Parteien, dem Versicherungsgericht des Kantons St. Gallen und dem Bundesamt für Gesundheit schriftlich mitgeteilt.</w:t>
      </w:r>
    </w:p>
    <w:p>
      <w:r>
        <w:t>Luzern, 3. Dezember 2024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