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9C_586/2024 vom 3. Dezember 2024</w:t>
      </w:r>
    </w:p>
    <w:p>
      <w:r>
        <w:t>Bundesgericht, 2024-12-03, DE</w:t>
      </w:r>
    </w:p>
    <w:p>
      <w:r>
        <w:rPr>
          <w:b/>
        </w:rPr>
        <w:t xml:space="preserve">Quelle: </w:t>
      </w:r>
      <w:r>
        <w:t>https://mcp.opencaselaw.ch/entscheid/bger_9C_586_2024</w:t>
      </w:r>
    </w:p>
    <w:p>
      <w:r>
        <w:t>FR: TF 9C_586/2024 du 3 décembre 2024</w:t>
      </w:r>
    </w:p>
    <w:p>
      <w:r>
        <w:t>IT: TF 9C_586/2024 del 3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9C_586/2024</w:t>
      </w:r>
    </w:p>
    <w:p>
      <w:r>
        <w:t>Urteil vom 3. Dezember 2024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CSS Kranken-Versicherung AG,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Versicherungsgerichts des Kantons St. Gallen vom 29. August 2024 (KV 2023/12).</w:t>
      </w:r>
    </w:p>
    <w:p>
      <w:r>
        <w:t>Nach Einsicht</w:t>
      </w:r>
    </w:p>
    <w:p>
      <w:r>
        <w:t>in die Beschwerde vom 18. Oktober 2024 (Poststempel) gegen den Entscheid des Versicherungsgerichts des Kantons St. Gallen vom 29. August 2024,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das Versicherungsgericht den Beschwerdeführer in teilweiser Gutheissung seiner Beschwerde verpflichtet hat, der Beschwerdegegnerin die Krankenversicherungsprämie KVG für das Jahr 2022 im Betrag von Fr. 2'519.10 zuzüglich Verzugszinsen zu 5 % seit 15. Juni 2022 sowie Spesen im Betrag von Fr. 45.- zu bezahlen. Dass es weiter den Rechtsvorschlag in der Betreibung Nr. ________ des Betreibungsamtes B.________ in diesem Umfang aufgehoben und die definitive Rechtsöffnung erteilt hat,</w:t>
      </w:r>
    </w:p>
    <w:p>
      <w:r>
        <w:t>dass der Beschwerdeführer mit keinem Wort auf die vorinstanzlichen Erwägungen eingeht und dartut, inwiefern diese Recht verletzen,</w:t>
      </w:r>
    </w:p>
    <w:p>
      <w:r>
        <w:t>dass die Beschwerde daher den inhaltlichen Mindestanforderungen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Gesundheit schriftlich mitgeteilt.</w:t>
      </w:r>
    </w:p>
    <w:p>
      <w:r>
        <w:t>Luzern, 3. Dezember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