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9C_585/2016 vom 29. November 2016</w:t>
      </w:r>
    </w:p>
    <w:p>
      <w:r>
        <w:t>Bundesgericht, 2016-11-29, DE</w:t>
      </w:r>
    </w:p>
    <w:p>
      <w:r>
        <w:rPr>
          <w:b/>
        </w:rPr>
        <w:t xml:space="preserve">Quelle: </w:t>
      </w:r>
      <w:r>
        <w:t>https://mcp.opencaselaw.ch/entscheid/bger_9C_585_2016</w:t>
      </w:r>
    </w:p>
    <w:p>
      <w:r>
        <w:t>FR: TF 9C_585/2016 du 29 novembre 2016</w:t>
      </w:r>
    </w:p>
    <w:p>
      <w:r>
        <w:t>IT: TF 9C_585/2016 del 29 novembre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9C_18/2016 vom 7. Oktober 2016 E. 2.1.2; 9C_851/2012 vom 5. März 2013         E. 2.3.2).</w:t>
      </w:r>
    </w:p>
    <w:p>
      <w:r>
        <w:rPr>
          <w:b/>
        </w:rPr>
        <w:t>E. 2</w:t>
      </w:r>
    </w:p>
    <w:p>
      <w:r>
        <w:t>Das kantonale Gericht hat nach eingehender Beweiswürdigung dem polydisziplinären Gutachten des Ärztlichen Begutachtungsinstitutes (ABI) vom 1. September 2014 Beweiskraft beigemessen und gestützt darauf eine uneingeschränkte Arbeitsfähigkeit in der angestammten und in jeder leidensangepassten Tätigkeit festgestellt. Das Valideneinkommen hat es auf Fr. 63'296.-, das Invalideneinkommen auf (mindestens) Fr. 43'725.- festgelegt. Beim resultierenden Invaliditätsgrad von (höchstens) 31 % hat es einen Rentenanspruch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Was die Beschwerdeführerin gegen die Beweiskraft (vgl. E. 3.1) des ABI-Gutachtens vorbringt, hält nicht stand: Die ABI-Experten äusserten sich zu Behandlungsoptionen und zur Persönlichkeit der Versicherten. Sodann trägt die ärztliche Beurteilung von der Natur der Sache her unausweichlich Ermessenszüge ( BGE 137 V 210 E. 3.4.2.3 S. 253; Urteil 9C_397/2015 vom 6. August 2015 E. 5.3). Weiter ist dem Unterschied zwischen Behandlungs- und Begutachtungsauftrag Rechnung zu tragen ( BGE 125 V 351 E. 3b/cc S. 353; Urteile 8C_740/2010 vom 29. September 2011 E. 6 und 9C_842/2009 vom 17. November 2009 E. 2.2), und zwar auch dann, wenn es um psychische Beeinträchtigungen geht. Eine vom Gutachten abweichende Einschätzung behandelnder Ärzte erschüttert daher nicht per se dessen Beweiskraft. In concreto wird denn auch nicht dargelegt, dass die behandelnden Ärzte objektiv feststellbare Gesichtspunkte vorgebracht hätten, welche im Rahmen der psychiatrischen Begutachtung unerkannt geblieben und geeignet sind, zu einer abweichenden Beurteilung zu führen (vgl. Urteil 9C_654/2015 vom 10. August 2016 E. 4.4). Im Übrigen beschränkt sich die Beschwerdeführerin ohnehin auf weiten Strecken auf die Wiederholung ihrer vorinstanzlichen Eingabe vom 3. Juni 2016 (vgl. Urteil 8C_467/2016 vom 1. September 2016 E. 3.3) und auf eine von der Vorinstanz abweichende Beweiswürdigung, was nicht genügt (vgl. Urteile 9C_714/2015 vom 29. April 2016 E. 4.3; 9C_65/2012 vom 28. Februar 2012 E. 4.3 mit Hinweisen).</w:t>
      </w:r>
    </w:p>
    <w:p>
      <w:r>
        <w:rPr>
          <w:b/>
        </w:rPr>
        <w:t>E. 3.4</w:t>
      </w:r>
    </w:p>
    <w:p>
      <w:r>
        <w:t>Nach dem Gesagten beruhen die vorinstanzliche Beweiswürdigung und Sachverhaltsfeststellung nicht auf einer Rechtsverletzung. Sie sind auch nicht offensichtlich unrichtig (E. 1.2), weshalb sie für das Bundesgericht verbindlich bleiben (E. 1.1). Die Beschwerde ist unbegründet.</w:t>
      </w:r>
    </w:p>
    <w:p>
      <w:r>
        <w:rPr>
          <w:b/>
        </w:rPr>
        <w:t>E. 4</w:t>
      </w:r>
    </w:p>
    <w:p>
      <w:r>
        <w:t>Dem Ausgang des Verfahrens entsprechend hat die Beschwerdeführerin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