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9C_585/2008 vom 29. August 2008</w:t>
      </w:r>
    </w:p>
    <w:p>
      <w:r>
        <w:t>Bundesgericht, 2008-08-29, DE</w:t>
      </w:r>
    </w:p>
    <w:p>
      <w:r>
        <w:rPr>
          <w:b/>
        </w:rPr>
        <w:t xml:space="preserve">Quelle: </w:t>
      </w:r>
      <w:r>
        <w:t>https://mcp.opencaselaw.ch/entscheid/bger_9C_585_2008</w:t>
      </w:r>
    </w:p>
    <w:p>
      <w:r>
        <w:t>FR: TF 9C_585/2008 du 29 août 2008</w:t>
      </w:r>
    </w:p>
    <w:p>
      <w:r>
        <w:t>IT: TF 9C_585/2008 del 29 agosto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Im vorinstanzlichen Entscheid wie auch in den Verfügungen werden die Bestimmungen und Grundsätze über den Invaliditätsbegriff ( Art. 8 Abs. 1 ATSG in Verbindung mit Art. 4 Abs. 1 IVG ), den Umfang des Rentenanspruchs ( Art. 28 Abs. 1 IVG ), die Bemessung des Invaliditätsgrades bei erwerbstätigen Versicherten nach der Einkommensvergleichsmethode ( Art. 16 ATSG in Verbindung mit Art. 28 Abs. 2 IVG ; BGE 130 V 343 E. 3.4. S. 348) sowie die Bedeutung ärztlicher Auskünfte für die Belange der Invaliditätsschätzung ( BGE 125 V 256 E. 4 S. 261) zutreffend wiedergegeben. Richtig sind auch die Hinweise auf die intertemporalrechtlichen Regeln bei der Beurteilung von Sachverhalten, die sich (teilweise) schon vor Inkrafttreten des ATSG am 1. Januar 2003 bzw. der 4. IV-Revision am 1. Januar 2004 verwirklicht haben ( BGE 130 V 445 E. 1.2.1 S. 446 f. mit Hinweisen), und darauf, dass das ATSG bezüglich der hier zu beurteilenden Rechtsfragen keine wesentlichen Neuerungen gebracht hat ( BGE 130 V 343 ), sowie darauf, dass die am 1. Januar 2008 in Kraft getretenen materiellen Änderungen des IVG und der IVV im Rahmen der 5. IV-Revision (Bundesgesetz vom 6. Oktober 2006 und Verordnung vom 28. September 2007) nach den allgemeinen übergangsrechtlichen Grundsätzen vorliegend nicht anwendbar sind (vgl. BGE 130 V 445 , 129 V 1 E. 1.2 S. 4; Urteil U 604/06 vom 16. Januar 2008 E. 1.2). Darauf wird verwiesen.</w:t>
      </w:r>
    </w:p>
    <w:p>
      <w:r>
        <w:rPr>
          <w:b/>
        </w:rPr>
        <w:t>E. 3</w:t>
      </w:r>
    </w:p>
    <w:p>
      <w:r>
        <w:t>Die Vorinstanz hat in inhaltsbezogener, umfassender, sorgfältiger und objektiver Würdigung der Akten ( BGE 132 V 393 E. 4.1 S. 400), auf welche verwiesen wird, insbesondere gestützt auf das ausführliche und in seinen einlässlichen Schlussfolgerungen nachvollziehbare Gutachten des Spitals X.________ vom 12. Juli 2006 festgestellt, dass bei der Beschwerdeführerin eine Restarbeitsfähigkeit von 50 % für eine leidensangepasste Tätigkeit besteht, welche der bis 1999 ausgeübten Tätigkeit als Sekretärin entspricht, also vorwiegend sitzend ohne Heben von schweren Lasten und ohne stundenlanges Fotokopieren.</w:t>
      </w:r>
    </w:p>
    <w:p>
      <w:r>
        <w:t>Die Vorbringen der Beschwerdeführerin, welche sich nunmehr darauf beschränken, den Beweiswert des Gutachtens des Spitals X._______ vom 12. Juli 2006 in Frage zu stellen, vermögen diese Tatsachenfeststellungen ( BGE 132 V 393 E. 3.2 S. 397) weder als offensichtlich unrichtig noch sonstwie bundesrechtswidrig erscheinen zu lassen:</w:t>
      </w:r>
    </w:p>
    <w:p>
      <w:r>
        <w:t>Insbesondere vermag der Bericht des behandelnden Arztes Dr. med. F.________ vom März 2006 entgegen der Auffassung der Beschwerdeführerin das Gutachten vom 12. Juli 2006 und dessen eingehende, nachvollziehbare Schlussfolgerungen nicht in Zweifel zu ziehen. Wenn es auch zutrifft, dass der Aussagegehalt eines Gutachtens nicht davon abhängt, ob dieses auch als solches bezeichnet ist, so ist hier doch offensichtlich, dass dem eineinhalb Seiten langen Bericht des Dr. med. F.________, welcher vor allem eine Aufzählung der Diagnosen umfasst und keinerlei Vorakten berücksichtigt, nicht der Beweiswert eines Gutachtens im Sinne der Rechtsprechung ( BGE 125 V 351 E. 3a S. 352; Urteil 9C_55/2008 vom 26. Mai 2008 E. 4.2) zukommt. Schliesslich mangelt es dem Bericht - welcher den erfahrenen und auch für die orthopädischen Aspekte kompetenten Gutachtern des Spitals X.________ bekannt war und im Gutachten gewürdigt wurde - nicht nur an einer Auseinandersetzung mit den einzelnen Diagnosen und deren Einschränkungen auf den Tätigkeitsbereich der Versicherten, sondern auch an einer schlüssigen Begründung für die attestierte volle Arbeitsunfähigkeit; die pauschale Feststellung, angesichts des Krankendossiers könne man "bei objektiver Beurteilung der Sachlage nicht ernsthaft zu einer anderen Beurteilung als 100 % arbeitsunfähig" kommen, genügt einer solchen jedenfalls nicht. Wenn die Vorinstanz deshalb erwogen hat, es handle sich um einen Verlaufsbericht, so kann weder von einer unrichtigen Tatsachenfeststellung noch von Willkür gesprochen werden. Der in der Beschwerde vorgetragene Standpunkt, welcher den Bericht des Dr. med. F.________ auf die gleiche Stufe stellt wie das eingeholte Administrativgutachten, verkennt den massgeblichen Unterschied von Behandlungs- und Begutachtungsauftrag (vgl. statt vieler Urteil 8C_663/2007 vom 4. August 2008 E. 4.2 mit Hinweisen).</w:t>
      </w:r>
    </w:p>
    <w:p>
      <w:r>
        <w:t>Soweit die Beschwerdeführerin sodann auf die Beurteilung des Dr. med. J.________, Chefarzt der orthopädischen Chirurgie des Kreisspitals Y.________, verweist, hat das kantonale Gericht zutreffend dargelegt, weshalb angesichts der ab 14. Oktober 2001 von diesem Arzt attestierten Arbeitsunfähigkeit von 100 %, welche mit der postoperativen Rehabilitation in Zusammenhang stand, kein Anlass besteht, an der gutachterlich festgestellten Arbeitsfähigkeit von 50 % zu zweifeln.</w:t>
      </w:r>
    </w:p>
    <w:p>
      <w:r>
        <w:t>An der vorinstanzlichen Betrachtungsweise ändern auch die zahlreichen und schon im Vorbescheidverfahren aufgelegten Hinweise auf unrichtig wiedergegebene Testergebnisse anlässlich der Untersuchung sowie Widersprüchlichkeiten im Gutachten nichts, wie bereits die Vorinstanz zutreffend dargelegt hat. Denn offensichtlich unrichtig ist die vorinstanzliche Tatsachenfeststellung einer Arbeitsunfähigkeit von 50 % in der leidensangepassten Tätigkeit als Sekretärin jedenfalls nicht. Der eventualiter anbegehrten Beweiserweiterung mit einem orthopädischen Gutachten bedarf es deshalb nicht.</w:t>
      </w:r>
    </w:p>
    <w:p>
      <w:r>
        <w:t>Schliesslich ist die Rüge unbehelflich, die Vorinstanz habe die Begründungspflicht verletzt. Der angefochtene Entscheid setzt sich eingehend mit der Situation auseinander und lässt klar die Gründe erkennen, die zum Entscheid geführt haben.</w:t>
      </w:r>
    </w:p>
    <w:p>
      <w:r>
        <w:rPr>
          <w:b/>
        </w:rPr>
        <w:t>E. 4</w:t>
      </w:r>
    </w:p>
    <w:p>
      <w:r>
        <w:t>Die Beschwerde hatte keine Aussicht auf Erfolg, weshalb sie im vereinfachten Verfahren nach Art. 109 Abs. 2 lit. a BGG - ohne Durchführung des Schriftenwechsels mit summarischer Begründung und unter Verweis auf den kantonalen Entscheid (Art. 102 Abs. 1 und 109 Abs. 3 BGG) - erledigt wird.</w:t>
      </w:r>
    </w:p>
    <w:p>
      <w:r>
        <w:rPr>
          <w:b/>
        </w:rPr>
        <w:t>E. 5</w:t>
      </w:r>
    </w:p>
    <w:p>
      <w:r>
        <w:t>Die zu erhebenden Gerichtskosten ( Art. 65 BGG ) sind ausgangsgemäss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