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584/2011 vom 12. März 2012</w:t>
      </w:r>
    </w:p>
    <w:p>
      <w:r>
        <w:t>Bundesgericht, 2012-03-12, FR</w:t>
      </w:r>
    </w:p>
    <w:p>
      <w:r>
        <w:rPr>
          <w:b/>
        </w:rPr>
        <w:t xml:space="preserve">Quelle: </w:t>
      </w:r>
      <w:r>
        <w:t>https://mcp.opencaselaw.ch/entscheid/bger_9C_584_2011</w:t>
      </w:r>
    </w:p>
    <w:p>
      <w:r>
        <w:t>FR: TF 9C 584/2011 du 12 mars 2012</w:t>
      </w:r>
    </w:p>
    <w:p>
      <w:r>
        <w:t>IT: TF 9C 584/2011 del 12 marzo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de la loi sur le Tribunal fédéral (LTF ; RS 173.110).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Se fondant sur les conclusions de l'expertise réalisée par le Centre Y.________, la juridiction cantonale a considéré que le recourant disposait d'une pleine capacité de travail.</w:t>
      </w:r>
    </w:p>
    <w:p>
      <w:r>
        <w:rPr>
          <w:b/>
        </w:rPr>
        <w:t>E. 2.2</w:t>
      </w:r>
    </w:p>
    <w:p>
      <w:r>
        <w:t>Le recourant reproche à la juridiction cantonale d'avoir procédé à une constatation manifestement inexacte des faits pertinents, consécutive à une mauvaise appréciation des preuves. En effet, l'expertise réalisée par le Centre Y.________ présenterait plusieurs défauts rédhibitoires : elle aurait exclu le diagnostic de capsulose rétractile (capsulite) sans examen radiologique préalable ; elle aurait minimisé les problèmes cervicaux en fixant arbitrairement à une année leur existence à compter de l'accident et en niant la présence d'une instabilité ligamentaire ; le diagnostic psychiatrique retenu par les experts serait peu fiable, puisqu'il aurait été posé à l'issue d'une consultation unique ; quant aux apnées du sommeil, la question de leur influence sur l'état de concentration et de fatigue n'aurait pas été abordée. Faute pour l'expertise de revêtir une valeur probante suffisante, il se justifierait dès lors d'ordonner la mise en oeuvre d'une nouvelle expertise.</w:t>
      </w:r>
    </w:p>
    <w:p>
      <w:r>
        <w:rPr>
          <w:b/>
        </w:rPr>
        <w:t>E. 2.3</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Dans la mesure où les premiers juges ont fondé leur raisonnement sur les conclusions de l'expertise du Centre Y.________, le recourant concentre ses griefs sur la remise en cause de la valeur probante de ce document. Cela étant, il ne formule aucun reproche de nature formelle à son encontre, étant précisé qu'il n'y a pas lieu de s'attarder, faute de griefs suffisamment développés, sur les critiques générales et polémiques adressées à l'encontre des expertises réalisées par le Centre Y.________. S'agissant des aspects matériels de l'expertise, le recourant tente de remettre en cause l'appréciation faite par les experts de la symptomatologie présentée et des répercussions fonctionnelles de celle-ci. Ce faisant, le recourant n'explique pas vraiment en quoi un autre point de vue serait, objectivement, mieux fondé que celui exprimé par les experts ou justifierait, à tout le moins, la mise en oeuvre d'une mesure d'instruction complémentaire. Si on examine dans le détail les griefs soulevés, il convient de constater que le recourant ne cherche pas à démontrer que les explications des experts entreraient en contradiction avec d'autres avis médicaux versés au dossier au cours de la procédure. S'agissant d'une part de la problématique relative à la capsulose rétractile mise en évidence sur une radiographie pratiquée le 5 juin 2008 à la Clinique V.________, il semble que celle-ci se soit amendée, du moins en tant que cela ressort de l'examen clinique pratiqué dans le cadre de l'expertise, lequel a mis en évidence une mobilité des épaules presque normale. S'agissant d'autre part du syndrome des apnées du sommeil, le recourant ne se prévaut d'aucun document qui attesterait, en l'état, de l'influence délétère de ce trouble sur sa capacité de travail. Pour le reste, on précisera qu'il ne suffit pas, pour remettre en cause la valeur probante d'une expertise médicale, de prétendre que la mise en oeuvre d'examens complémentaires conduirait à des conclusions différentes ou qu'un médecin traitant a nécessairement une meilleure vision de la situation qu'un expert ;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Le recourant ne cite toutefois aucun élément de ce genre à l'appui de son argumentation.</w:t>
      </w:r>
    </w:p>
    <w:p>
      <w:r>
        <w:rPr>
          <w:b/>
        </w:rPr>
        <w:t>E. 3</w:t>
      </w:r>
    </w:p>
    <w:p>
      <w:r>
        <w:t>Vu ce qui précède, le présent recours doit être rejeté selon la procédure simplifiée de l' art. 109 al. 2 let. a LTF , sans qu'il y ait lieu d'ordonner un échange d'écritures. Compte tenu de l'issue du recours,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