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584/2008 vom 3. November 2008</w:t>
      </w:r>
    </w:p>
    <w:p>
      <w:r>
        <w:t>Bundesgericht, 2008-11-03, DE</w:t>
      </w:r>
    </w:p>
    <w:p>
      <w:r>
        <w:rPr>
          <w:b/>
        </w:rPr>
        <w:t xml:space="preserve">Quelle: </w:t>
      </w:r>
      <w:r>
        <w:t>https://mcp.opencaselaw.ch/entscheid/bger_9C_584_2008</w:t>
      </w:r>
    </w:p>
    <w:p>
      <w:r>
        <w:t>FR: TF 9C 584/2008 du 3 novembre 2008</w:t>
      </w:r>
    </w:p>
    <w:p>
      <w:r>
        <w:t>IT: TF 9C 584/2008 del 3 novembre 2008</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 95 beruht ( Art. 105 Abs. 1 und 2 BGG ).</w:t>
      </w:r>
    </w:p>
    <w:p>
      <w:r>
        <w:rPr>
          <w:b/>
        </w:rPr>
        <w:t>E. 2</w:t>
      </w:r>
    </w:p>
    <w:p>
      <w:r>
        <w:t>Die Vorinstanz hat korrekt die Bestimmung von Art. 31 Abs. 1 lit. a KVG angeführt, aus welcher sich die Kostenübernahme für die Zahnbehandlung durch die obligatorische Krankenpflegeversicherung ergibt, wenn diese durch eine schwere, nicht vermeidbare Erkrankung des Kausystems bedingt ist. Der angefochtene Entscheid gibt sodann die Bestimmung von Art. 17 Ingress sowie lit. c Ziffer 3 KLV korrekt wieder, wonach die obligatorische Krankenpflegeversicherung bei Erkrankungen des Kieferknochens und der Weichteile durch Osteopathien der Kiefer die Kosten übernimmt, sofern das Leiden Krankheitswert hat und dieses eine Behandlung notwendig macht. Darauf kann verwiesen werden.</w:t>
      </w:r>
    </w:p>
    <w:p>
      <w:r>
        <w:rPr>
          <w:b/>
        </w:rPr>
        <w:t>E. 3.1</w:t>
      </w:r>
    </w:p>
    <w:p>
      <w:r>
        <w:t>Das kantonale Gericht stellte fest, die Beschwerdeführerin leide an einem Kieferschwund im Seitenzahnbereich, welcher weder den ganzen Ober- noch Unterkiefer umfasse. Der behandelnde Zahnarzt, Dr. med. dent. S.________, bestreite diesen Befund im Schreiben vom 15. Februar 2007 nicht. Letztes wird von der Beschwerdeführerin nicht als offensichtlich unrichtig gerügt, weshalb das Bundesgericht daran gebunden ist ( Art. 97 Abs. 1 und Art. 105 Abs. 1 BGG ). Die Beschwerdeführerin macht indessen geltend, der angefochtene Entscheid stelle zu Unrecht auf die Aktenbeurteilung des Dr. med. dent. D.________ ab. Dessen Bericht vom 11. Januar 2007 beruhe mangels Untersuchung auf blossen Annahmen, weswegen ihm die Beweistauglichkeit abgehe.</w:t>
      </w:r>
    </w:p>
    <w:p>
      <w:r>
        <w:rPr>
          <w:b/>
        </w:rPr>
        <w:t>E. 3.2</w:t>
      </w:r>
    </w:p>
    <w:p>
      <w:r>
        <w:t>Dem angefochtenen Entscheid kann nicht entnommen werden, das kantonale Gericht habe die Feststellung des Kieferschwundes im Seitenzahnbereich entgegen der Beurteilung des Dr. med. dent. S.________ getroffen und seine Stellungnahmen verworfen, hingegen jene der Dres. med. dent. D.________ und C.________, Vertrauensärzte der Universa, als allein massgeblich erachtet. Für das Bundesgericht verbindlich führte die Vorinstanz als von Dr. med. dent. S.________ gestellte Diagnose eine extreme Kammatrophie im Seitenzahnbereich an (im Kostenvoranschlag vom 29. Mai 2006 war die extreme Atrophie des Kieferknochens [Cawood VI] ohne Erwähnung des Kieferkörpers festgehalten). Daher ist jedenfalls von einer Anomalie auszugehen, die nicht den gesamten Unterkiefer einschliesst und nur den Kamm (Alveolarkamm) beschlägt. Unter diesen Umständen steht der bloss teilweise, jedoch nicht ganze Abbau des Alveolarfortsatzes fest ( Art. 105 Abs. 1 BGG ).</w:t>
      </w:r>
    </w:p>
    <w:p>
      <w:r>
        <w:rPr>
          <w:b/>
        </w:rPr>
        <w:t>E. 3.3</w:t>
      </w:r>
    </w:p>
    <w:p>
      <w:r>
        <w:t>Im Weiteren bezog sich das kantonale Gericht auf den Atlas der Erkrankungen mit Auswirkungen auf das Kausystem der Schweizerischen Zahnärzte-Gesellschaft (SSO; Februar 1996 mit Korrekturen Dezember 1999). Danach besteht unter anderem eine schwere Erkrankung des Kieferknochens und der Weichteile im Sinne von Art. 17 lit. c KLV , falls dem Befund eine Osteoporose, eine Osteomalazie oder eine Osteodystrophie zu Grunde liegt. Gemäss KVG-Leitfaden 1999 der Schweizerischen Gesellschaft für Kiefer- und Gesichtschirurgie (SGKG) ist schliesslich beim Nachweis einer extremen Atrophie per se und ohne weitere fachärztliche Untersuchung eine Osteopathie des Kieferknochens mit Beteiligung des Kieferkörpers anzunehmen (4/3 zu Art. 17 lit. c Ziffer 3 KLV). Dies ist der Fall, wenn der ganze Alveolarfortsatz (zum Begriff des Alveolarknochens vgl. SVR 2008 KV Nr. 3 S. 8 [9C_50/2007]) bis auf die Kieferbasis abgebaut ist (Atlas der Erkrankungen mit Auswirkungen auf das Kausystem, a.a.O., zu Art. 17 c, S. 41). Da bei der Beschwerdeführerin rechtsverbindlich ein Kieferschwund ohne vollständigen Alveolarfortsatzabbau im gesamten Unterkiefer besteht, liegt keine extreme Atrophie des Kieferknochens vor, und die Leistungspflicht nach Art. 17 lit. c Ziffer 3 KLV ist vom zusätzlichen Nachweis einer Osteoporose, einer Osteomalazie oder einer Osteodystrophie abhängig.</w:t>
      </w:r>
    </w:p>
    <w:p>
      <w:r>
        <w:rPr>
          <w:b/>
        </w:rPr>
        <w:t>E. 3.4</w:t>
      </w:r>
    </w:p>
    <w:p>
      <w:r>
        <w:t>Nicht offensichtlich unrichtig schloss das vorinstanzliche Gericht auf das Fehlen einer der erwähnten Erkrankungen. In der Beschwerde wird nichts vorgebracht, was diese Feststellung als rechtsfehlerhaft ausweist. Insbesondere verneinte das Gericht eine Knochenerkrankung im Lichte der gesamten Akten, folglich auch der Stellungnahmen des Dr. med. dent. S.________. Es seien im Ober- und Unterkiefer Totalprothesen vorhanden, hingegen sei nicht von weitergehenden Erkrankungen die Rede. Auf Dr. med. dent. D.________ nahm das kantonale Gericht zusätzlich Bezug, weil dieser Arzt zur Konkretisierung von Art. 17 lit. c Ziffer 3 KLV den Atlas der Erkrankungen mit Auswirkungen auf das Kausystem (a.a.O.) anführte. Demzufolge vermag die Beschwerdeführerin aus dem Umstand, dass sie von den Dres. med. dent. D.________ und C.________ nicht untersucht worden ist, nichts Entscheidendes zu ihren Gunsten herzuleiten. Eine Auseinandersetzung mit der von ihr aufgeworfenen Problematik des Beweiswertes von Aktengutachten erübrigt sich somit. Ob die Vorinstanz der Ansicht des Dr. med. dent. D.________ folgen durfte, wonach der Befund entweder durch eine verfrühte Extraktion der Zähne oder das Tragen einer schlecht angepassten Prothese entstanden sei, ist nicht von Belang, ergibt sich doch aus dem angefochtenen Entscheid, dass Dr. med. dent. D.________ die alternativen Ursächlichkeiten nur deshalb erwähnt hat, weil keine Osteoporose, Osteomalazie oder Osteodystrophie diagnostiziert war. Dass eine Leistungspflicht gestützt auf Art. 17 lit. c Ziffer 3 KLV nicht besteht, hat das kantonale Gericht mithin rechtlich korrekt erkannt.</w:t>
      </w:r>
    </w:p>
    <w:p>
      <w:r>
        <w:rPr>
          <w:b/>
        </w:rPr>
        <w:t>E. 4</w:t>
      </w:r>
    </w:p>
    <w:p>
      <w:r>
        <w:t>Dem Verfahrensausgang entsprechend sind die Gerichtskosten der unterliegenden Beschwerdeführerin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