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9C_582/2011 vom 3. November 2011</w:t>
      </w:r>
    </w:p>
    <w:p>
      <w:r>
        <w:t>Bundesgericht, 2011-11-03, DE</w:t>
      </w:r>
    </w:p>
    <w:p>
      <w:r>
        <w:rPr>
          <w:b/>
        </w:rPr>
        <w:t xml:space="preserve">Quelle: </w:t>
      </w:r>
      <w:r>
        <w:t>https://mcp.opencaselaw.ch/entscheid/bger_9C_582_2011</w:t>
      </w:r>
    </w:p>
    <w:p>
      <w:r>
        <w:t>FR: TF 9C_582/2011 du 3 novembre 2011</w:t>
      </w:r>
    </w:p>
    <w:p>
      <w:r>
        <w:t>IT: TF 9C_582/2011 del 3 novembre 2011</w:t>
      </w:r>
    </w:p>
    <w:p>
      <w:pPr>
        <w:pStyle w:val="Heading2"/>
      </w:pPr>
      <w:r>
        <w:t>Erwägungen</w:t>
      </w:r>
    </w:p>
    <w:p>
      <w:r>
        <w:rPr>
          <w:b/>
        </w:rPr>
        <w:t>E. 1</w:t>
      </w:r>
    </w:p>
    <w:p>
      <w:r>
        <w:t>Die Vorinstanz hat unter Annahme einer bei einem vollen Pensum um 20 % reduzierten Leistung in körperlich adaptierten Tätigkeiten gemäss dem Gutachten der MEDAS vom 10. Juli 2007 durch Vergleich der Einkommen ohne und mit Behinderung (Fr. 68'173.- [Valideneinkommen] bzw. Fr. 40'254.- [Invalideneinkommen]; Art. 16 ATSG in Verbindung mit Art. 28a Abs. 1 IVG ; BGE 125 V 146 E. 2a S. 149 oben) einen Invaliditätsgrad von 41 % ermittelt, was Anspruch auf eine Viertelsrente gibt ( Art. 28 Abs. 2 IVG ).</w:t>
      </w:r>
    </w:p>
    <w:p>
      <w:r>
        <w:rPr>
          <w:b/>
        </w:rPr>
        <w:t>E. 2</w:t>
      </w:r>
    </w:p>
    <w:p>
      <w:r>
        <w:t>Die Beschwerde führende IV-Stelle rügt einzig, die Vorinstanz habe bei dem auf der Grundlage der Schweizerischen Lohnstrukturerhebung 2006 des Bundesamtes für Statistik (LSE 06) berechneten Invalideneinkommen (grundlegend BGE 124 V 321 ) zu Unrecht einen Abzug vom Tabellenlohn gemäss BGE 126 V 75 von 15 % vorgenommen. Gerechtfertigt sei lediglich ein insoweit unbestrittener leidensbedingter Abzug von 10 %.</w:t>
      </w:r>
    </w:p>
    <w:p>
      <w:r>
        <w:rPr>
          <w:b/>
        </w:rPr>
        <w:t>E. 3.1</w:t>
      </w:r>
    </w:p>
    <w:p>
      <w:r>
        <w:t>Die Rechtsprechung anerkennt unter dem Titel Beschäftigungsgrad bei Männern, welche aus gesundheitlichen Gründen nur noch teilzeitlich erwerbstätig sein können, einen Abzug vom Tabellenlohn nach BGE 126 V 75 . Dagegen rechtfertigt der Umstand, dass eine grundsätzlich vollzeitlich arbeitsfähige versicherte Person krankheitsbedingt lediglich reduziert leistungsfähig ist, keinen Abzug (Urteil 9C_40/2011 vom 1. April 2011 E. 2.3.1 mit Hinweisen).</w:t>
      </w:r>
    </w:p>
    <w:p>
      <w:r>
        <w:rPr>
          <w:b/>
        </w:rPr>
        <w:t>E. 3.2</w:t>
      </w:r>
    </w:p>
    <w:p>
      <w:r>
        <w:t>Die Vorinstanz ist unter Hinweis auf die Urteile 9C_728/2009 vom 21. September 2010 und 9C_708/2009 vom 19. November 2009 von dieser Rechtsprechung abgewichen. Es sei auch nicht einsichtig, weshalb jemand, der, wie vorliegend, für eine 80%-Leistung 100 % Zeit braucht, gegenüber einem gesunden "80%er" nicht benachteiligt sein soll.</w:t>
      </w:r>
    </w:p>
    <w:p>
      <w:r>
        <w:rPr>
          <w:b/>
        </w:rPr>
        <w:t>E. 3.3</w:t>
      </w:r>
    </w:p>
    <w:p>
      <w:r>
        <w:t>Die IV-Stelle bringt richtig vor, dass das Urteil 9C_728/2009 vom 21. September 2010 nicht einschlägig ist. In diesem Entscheid und auch in den Urteilen 9C_708/2009 vom 19. November 2009 und 9C_721/2010 vom 15. November 2010 hat das Bundesgericht die Frage gestellt, ob an der hier zur Diskussion stehenden Rechtsprechung festzuhalten sei. Es hat die Frage nicht entschieden, sondern jeweils offen gelassen. Dem vorinstanzlichen Entscheid und auch der Vernehmlassung des Beschwerdegegners lassen sich keine Gründe entnehmen, welche Anlass zu einer vertieften Auseinandersetzung mit dieser Rechtsprechung geben könnten (vgl. zu den Voraussetzungen für eine Praxisänderung BGE 135 I 79 E. 3 S. 82, 134 V 72 E.3.3 S. 76), was zur Gutheissung der Beschwerde führt.</w:t>
      </w:r>
    </w:p>
    <w:p>
      <w:r>
        <w:rPr>
          <w:b/>
        </w:rPr>
        <w:t>E. 4</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