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9C_581/2016 vom 24. Januar 2017</w:t>
      </w:r>
    </w:p>
    <w:p>
      <w:r>
        <w:t>Bundesgericht, 2017-01-24, DE</w:t>
      </w:r>
    </w:p>
    <w:p>
      <w:r>
        <w:rPr>
          <w:b/>
        </w:rPr>
        <w:t xml:space="preserve">Quelle: </w:t>
      </w:r>
      <w:r>
        <w:t>https://mcp.opencaselaw.ch/entscheid/bger_9C_581_2016</w:t>
      </w:r>
    </w:p>
    <w:p>
      <w:r>
        <w:t>FR: TF 9C_581/2016 du 24 janvier 2017</w:t>
      </w:r>
    </w:p>
    <w:p>
      <w:r>
        <w:t>IT: TF 9C_581/2016 del 24 gennaio 2017</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und zu prüfen ist allein die Höhe des Abzuges vom Tabellenlohn für die Ermittlung des Invalideneinkommens. Da es sich dabei um eine Ermessensfrage handelt, greift das Bundesgericht nur korrigierend ein, wenn das kantonale Gericht sein Ermessen über- oder unterschritten oder missbraucht und in diesem Sinn rechtsfehlerhaft ausgeübt hat (E. 1 hievor; BGE 132 V 393 E. 3.3 S. 399).</w:t>
      </w:r>
    </w:p>
    <w:p>
      <w:r>
        <w:rPr>
          <w:b/>
        </w:rPr>
        <w:t>E. 2.1</w:t>
      </w:r>
    </w:p>
    <w:p>
      <w:r>
        <w:t>Das kantonale Gericht stellte in Bezug auf die gesundheitlich bedingten Einschränkungen auf das bidisziplinäre Gutachten der Klinik B.________ vom 26. Mai 2015 ab. Danach ist dem Versicherten die bisherige Tätigkeit nicht mehr zumutbar; hingegen besteht eine Arbeitsfähigkeit von 80 % in leidensangepassten, leichten Tätigkeiten in Wechselbelastung mit der Möglichkeit von regelmässigen Pausen und ohne Hantieren links über Schulterhöhe. Aus psychiatrischer Sicht sollten die sozialen Kontakte nicht zu tief gehen. Die Reduktion der Arbeitsfähigkeit um 20 % sei laut Gutachten hauptsächlich durch den Pausenbedarf in dieser definierten Tätigkeit begründbar. Die Vorinstanz erachtete den von der Beschwerdegegnerin vorgenommenen Abzug vom Tabellenlohn bei der Ermittlung des Invalideneinkommens von 5 % für angemessen und begründete diesen mit der eingeschränkten Leistungsfähigkeit des Versicherten bei Hilfsarbeiten.</w:t>
      </w:r>
    </w:p>
    <w:p>
      <w:r>
        <w:rPr>
          <w:b/>
        </w:rPr>
        <w:t>E. 2.2</w:t>
      </w:r>
    </w:p>
    <w:p>
      <w:r>
        <w:t>Demgegenüber hält der Beschwerdeführer eine Reduktion um mindestens 10 % für angezeigt, weil seiner Auffassung nach weitere abzugsrelevante Umstände zu berücksichtigen sind: der Beschäftigungsgrad sowie eine erhebliche Einbusse beim Lohn. Er sei für einen Arbeitgeber in Bezug auf gewisse Tätigkeiten sowie in zeitlicher Hinsicht aufgrund des Pausenbedarfs nicht voll einsetzbar.</w:t>
      </w:r>
    </w:p>
    <w:p>
      <w:r>
        <w:rPr>
          <w:b/>
        </w:rPr>
        <w:t>E. 3</w:t>
      </w:r>
    </w:p>
    <w:p>
      <w:r>
        <w:t>Die Vorinstanz stellte für das Bundesgericht verbindlich fest (vgl. E. 1 hievor), gemäss Anforderungsprofil an eine angepasste Tätigkeit kämen für den Beschwerdeführer nicht eigentliche Teilzeitstellen entsprechend dem Umfang der Arbeitsfähigkeit in Frage, sondern er könne lediglich bei 100%iger Präsenz keine volle Leistung erbringen, da er auf zusätzliche Pausen angewiesen sei. In dieser Konstellation ist unter dem Titel "Beschäftigungsgrad", wie die Vorinstanz zutreffend darlegte, kein Abzug gerechtfertigt (Urteil 8C_7/2014 vom 10. Juli 2014 E. 9.2, in: SVR 2014 IV Nr. 37 S. 130 mit Hinweis auf 9C_796/2013 vom 28. Januar 2014 E. 3.1.2). Dem erhöhten Pausenbedarf hat das kantonale Gericht mit dem um 20 % verminderten Rendement bereits hinreichend Rechnung getragen (vgl. E. 2.1 hievor) und darf entsprechend nicht zusätzlich mit einem Abzug und damit doppelt herangezogen werden (Urteil 9C_584/2015 vom 15. April 2016 E. 6.2).</w:t>
      </w:r>
    </w:p>
    <w:p>
      <w:r>
        <w:t>Entgegen dem Beschwerdeführer würdigte das kantonale Gericht die von ihm geltend gemachte psychische Einschränkung. Es kam in Anlehnung an das Gutachten der Klinik B.________ nicht offensichtlich unrichtig zum Schluss, der Umstand, dass die sozialen Kontakte an einem Arbeitsplatz nicht zu tief gehen sollten, führe nicht zu einer Arbeitsunfähigkeit, sondern sei im Anforderungsprofil an eine adaptierte Tätigkeit (vgl. E. 2.1 hievor) bereits eingeschlossen.</w:t>
      </w:r>
    </w:p>
    <w:p>
      <w:r>
        <w:t>Laut den verbindlichen Feststellungen der Vorinstanz (vgl. E. 1 hievor) ist der Versicherte auch in leichten Tätigkeiten nicht voll leistungsfähig. Dies berücksichtigte das kantonale Gericht mit einem Abzug vom Tabellenlohn von 5 %, weshalb der Versicherte mit seinen Vorbringen, er sei letztlich in allen Tätigkeiten zu 20 % eingeschränkt, was zu einer deutlichen, zusätzlichen Lohneinbusse führen würde, nichts zu seinen Gunsten ableiten kann.</w:t>
      </w:r>
    </w:p>
    <w:p>
      <w:r>
        <w:t>Nach dem Gesagten ist die Ermessensausübung der Vorinstanz bei der Festlegung des Abzuges vom Tabellenlohn nicht rechtsfehlerhaft (E. 1 und 2 hievor). Die Beschwerde ist unbegründet.</w:t>
      </w:r>
    </w:p>
    <w:p>
      <w:r>
        <w:rPr>
          <w:b/>
        </w:rPr>
        <w:t>E. 4</w:t>
      </w:r>
    </w:p>
    <w:p>
      <w:r>
        <w:t>Das Verfahren ist kostenpflichtig ( Art. 65 Abs. 4 lit. a BGG ). Die Gerichtskosten werden dem unterliegenden Beschwerdeführer auferlegt ( Art. 66 Abs. 1 Satz 1 BGG ). Seinem Gesuch um unentgeltliche Rechtspflege kann jedoch entsprochen werden, weil die Bedürftigkeit ausgewiesen und die Beschwerde nicht als aussichtslos zu bezeichnen ist; ferner war die Vertretung durch eine Rechtsanwältin geboten ( Art. 64 Abs. 1 und 2 BGG ). Es wird indessen ausdrücklich auf Art. 64 Abs. 4 BGG aufmerksam gemacht, wonach die begünstigte Partei der Bundesgerichtskasse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