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9C_580/2022 vom 3. Oktober 2023</w:t>
      </w:r>
    </w:p>
    <w:p>
      <w:r>
        <w:t>Bundesgericht, 2023-10-03, FR</w:t>
      </w:r>
    </w:p>
    <w:p>
      <w:r>
        <w:rPr>
          <w:b/>
        </w:rPr>
        <w:t xml:space="preserve">Quelle: </w:t>
      </w:r>
      <w:r>
        <w:t>https://mcp.opencaselaw.ch/entscheid/bger_9C_580_2022</w:t>
      </w:r>
    </w:p>
    <w:p>
      <w:r>
        <w:t>FR: TF 9C_580/2022 du 3 octobre 2023</w:t>
      </w:r>
    </w:p>
    <w:p>
      <w:r>
        <w:t>IT: TF 9C_580/2022 del 3 ottobre 2023</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à une rente d'invalidité, singulièrement sur l'appréciation par le tribunal cantonal de l'état de santé de l'assurée et de ses conséquences sur la base des avis médicaux collectés par l'office intimé.</w:t>
      </w:r>
    </w:p>
    <w:p>
      <w:r>
        <w:rPr>
          <w:b/>
        </w:rPr>
        <w:t>E. 3</w:t>
      </w:r>
    </w:p>
    <w:p>
      <w:r>
        <w:t>L'arrêt attaqué expose les normes et la jurisprudence indispensables à la résolution du cas, plus particulièrement celles concernant le rôle des médecins ( ATF 132 V 93 consid. 4), l'appréciation des preuves ( art. 61 let . c LPGA) et les critères pertinents pour apprécier la valeur probante des rapports médicaux ( ATF 143 V 124 consid. 2.2.2 et les références). Il suffit d'y renvoyer.</w:t>
      </w:r>
    </w:p>
    <w:p>
      <w:r>
        <w:rPr>
          <w:b/>
        </w:rPr>
        <w:t>E. 4</w:t>
      </w:r>
    </w:p>
    <w:p>
      <w:r>
        <w:t>La cour cantonale a rappelé l'essentiel des informations disponibles au moment du prononcé de la décision administrative litigieuse. En réponse à l'argumentation de l'assurée, ne portant que sur l'appréciation de son état de santé sur le plan somatique, elle a toutefois plus particulièrement relevé que l'avis de l'expert C.________ à propos de l'existence d'un SDRC affectant le bras ou la main gauche et des effets de ce trouble sur la capacité de travail divergeait totalement de celui du docteur E.________. Elle a considéré qu'il n'y avait pas lieu de s'écarter de l'avis de l'expert dans la mesure où il avait établi dans son rapport que les critères diagnostiques d'un SDRC n'étaient pas remplis au moment de l'expertise. Elle a également retenu que l'avis du docteur E.________ ne remettait pas valablement en question le rapport d'expertise dès lors que le médecin traitant ne mentionnait aucun élément objectif nouveau qui aurait été ignoré par l'expert, fondait certaines de ses conclusions sur les allégations de sa patiente et attestait sans autre motivation une incapacité totale de travail. Elle a dès lors suivi les conclusions des médecins du BEM et confirmé le taux d'invalidité fixé par l'office intimé.</w:t>
      </w:r>
    </w:p>
    <w:p>
      <w:r>
        <w:rPr>
          <w:b/>
        </w:rPr>
        <w:t>E. 5</w:t>
      </w:r>
    </w:p>
    <w:p>
      <w:r>
        <w:t>La recourante reproche à la juridiction cantonale d'avoir procédé à une appréciation arbitraire des documents médicaux en se fondant sur une constatation manifestement inexacte des faits. Reprenant l'argumentation développée en première instance, elle reproche concrètement aux premiers juges d'avoir écarté le SDRC et son influence sur la capacité de travail au seul motif que le docteur C.________ n'avait pas observé la présence d'un oedème au moment de l'expertise (les autres critères diagnostiques étant remplis). Elle fait valoir qu'un oedème est rarement présent en permanence, qu'il apparaît chez elle en principe durant la seconde partie de la journée et que le docteur E.________ a attesté l'existence d'un oedème à l'index de la main gauche dans son rapport du 20 décembre 2021. Dans ces circonstances, elle soutient que le tribunal cantonal ne pouvait pas exclure le SDRC de son appréciation de la capacité de travail, d'autant moins que cette affection l'empêchait d'utiliser sa main gauche.</w:t>
      </w:r>
    </w:p>
    <w:p>
      <w:r>
        <w:rPr>
          <w:b/>
        </w:rPr>
        <w:t>E. 6</w:t>
      </w:r>
    </w:p>
    <w:p>
      <w:r>
        <w:t>En l'occurrence, la cour cantonale a considéré que le SDRC n'était pas présent ou plus d'actualité lors de l'expertise au plus tard dès lors que, dans le rapport du 24 avril 2019, le docteur C.________ avait démontré que les critères diagnostiques nécessaires pour retenir une telle pathologie n'étaient pas remplis. Elle a abouti à cette conclusion en se basant sur les "critères de Budapest", fixés par la doctrine médicale. Elle a relevé que l'expert avait attesté l'existence d'une douleur continue, disproportionnée par rapport à l'événement initial (critère 1), ainsi que de symptômes dans les quatre catégories somatosensorielle, vasomotrice, sudomotrice/oedème et motrice/trophique (critère 2), mais qu'il n'avait en revanche observé qu'un signe clinique dans ces mêmes catégories alors qu'il en fallait au moins deux pour retenir le critère 3 et - partant - le SDRC. Elle a par ailleurs considéré que le docteur E.________ n'attestait aucun élément médical nouveau dans son rapport du 13 juillet 2021 et que, même s'il faisait état d'un oedème à l'index de la main gauche (soit un signe supplémentaire dans les catégories du 3</w:t>
      </w:r>
    </w:p>
    <w:p>
      <w:r>
        <w:t>e critère diagnostique du syndrome litigieux) dans son rapport du 20 décembre 2021, son évaluation des limitations fonctionnelles et de la capacité de travail était dénuée de toute valeur probante. On peut douter que, comme le fait valoir la recourante, la juridiction cantonale pouvait légitimement nier d'emblée l'existence d'un SDRC. En effet, l'oedème à l'index de la main gauche signalé par le docteur E.________ est de toute évidence un élément objectif nouveau par rapport aux constatations du docteur C.________, qu'il s'agit d'une atteinte objectivée et présente lors du prononcé de la décision litigieuse du 24 janvier 2022 (sur l'état de fait déterminant pour apprécier la légalité de décisions administratives, cf. notamment ATF 144 V 210 consid. 4.3.1 et les références) et que, si on intégrait l'oedème à l'analyse des critères diagnostiques d'un SDRC par les premiers juges, il semblerait que le diagnostic en question puisse être retenu (cf. arrêt 8C_416/2019 du 15 juillet 2020 consid. 5.1).</w:t>
      </w:r>
    </w:p>
    <w:p>
      <w:r>
        <w:t>Quoi qu'il en soit, le résultat auquel a abouti le tribunal cantonal n'est pas arbitraire (sur cette notion, cf. p. ex. ATF 139 III 334 consid. 3.2.5 et les références). En effet, l'expert n'a pas retenu un SDRC sur la base des constatations qu'il avait faites lors de son examen clinique. Il n'a toutefois ignoré ni les douleurs à la main gauche ni l'incidence de ces douleurs sur la capacité de travail au contraire de ce que l'assurée laisse entendre. Il a diagnostiqué un syndrome de douleurs chroniques de la main gauche après un événement traumatique mineur survenu le 5 février 2017 et retenu le port de charges de plus de 5 kg et les activités manuelles complexes parmi les limitations permettant la pratique d'une activité adaptée à 70%. Cette appréciation - reprise par la cour cantonale - ne peut pas valablement être mise en doute par l'allégation générale d'une douleur disproportionnée par rapport à l'événement déclenchant ou d'une impossibilité objective d'utiliser le bras gauche et d'exercer une activité autre que monomanuelle, qui ne ressort au demeurant pas des rapports établis par le docteur E.________ les 13 juillet et 21 décembre 2021. Le recours doit donc être rejeté.</w:t>
      </w:r>
    </w:p>
    <w:p>
      <w:r>
        <w:rPr>
          <w:b/>
        </w:rPr>
        <w:t>E. 7</w:t>
      </w:r>
    </w:p>
    <w:p>
      <w:r>
        <w:t>Vu l'issue du litige, la recourante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