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9C_580/2010 vom 16. November 2010</w:t>
      </w:r>
    </w:p>
    <w:p>
      <w:r>
        <w:t>Bundesgericht, 2010-11-16, DE</w:t>
      </w:r>
    </w:p>
    <w:p>
      <w:r>
        <w:rPr>
          <w:b/>
        </w:rPr>
        <w:t xml:space="preserve">Quelle: </w:t>
      </w:r>
      <w:r>
        <w:t>https://mcp.opencaselaw.ch/entscheid/bger_9C_580_2010</w:t>
      </w:r>
    </w:p>
    <w:p>
      <w:r>
        <w:t>FR: TF 9C_580/2010 du 16 novembre 2010</w:t>
      </w:r>
    </w:p>
    <w:p>
      <w:r>
        <w:t>IT: TF 9C_580/2010 del 16 novembre 2010</w:t>
      </w:r>
    </w:p>
    <w:p>
      <w:pPr>
        <w:pStyle w:val="Heading2"/>
      </w:pPr>
      <w:r>
        <w:t>Erwägungen</w:t>
      </w:r>
    </w:p>
    <w:p>
      <w:r>
        <w:rPr>
          <w:b/>
        </w:rPr>
        <w:t>E. 1</w:t>
      </w:r>
    </w:p>
    <w:p>
      <w:r>
        <w:t>Die angefochtene Dispositiv-Ziffer 3 des vorinstanzlichen Entscheids setzt die Parteientschädigung für das Verfahren VV.2010.40/E vor dem Verwaltungsgericht des Kantons Thurgau fest, in welchem der Beschwerdeführer teilweise obsiegte. Es handelt sich um einen Endentscheid im Sinne von Art. 90 BGG .</w:t>
      </w:r>
    </w:p>
    <w:p>
      <w:r>
        <w:rPr>
          <w:b/>
        </w:rPr>
        <w:t>E. 2</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Das Bundesgericht wendet das Recht von Amtes wegen an ( Art. 106 Abs. 1 BGG ).</w:t>
      </w:r>
    </w:p>
    <w:p>
      <w:r>
        <w:rPr>
          <w:b/>
        </w:rPr>
        <w:t>E. 3.1</w:t>
      </w:r>
    </w:p>
    <w:p>
      <w:r>
        <w:t>Der Beschwerdeführer beanstandet die Höhe der ihm vom kantonalen Gericht zugesprochenen Parteientschädigung von Fr. 250.-. Zum einen sei die Entschädigung zu Unrecht wegen bloss teilweisen Obsiegens gekürzt und zum anderen willkürlich zu tief festgesetzt worden.</w:t>
      </w:r>
    </w:p>
    <w:p>
      <w:r>
        <w:rPr>
          <w:b/>
        </w:rPr>
        <w:t>E. 3.2</w:t>
      </w:r>
    </w:p>
    <w:p>
      <w:r>
        <w:t>Nach Art. 61 lit. g ATSG hat die ganz oder teilweise obsiegende Beschwerde führende Person Anspruch auf Ersatz der Parteikosten. Die Parteientschädigung ist vom kantonalen Gericht - unter Berücksichtigung der Bedeutung der Streitsache und dem Aufwand der Rechtsvertretung ( Art. 61 lit. g ATSG ) - ermessensweise festzusetzen (vgl. auch § 80 Abs. 1 des thurgauischen Gesetzes über die Verwaltungsrechtspflege vom 23. Februar 1981 [RB-Nr. 170.1]). Bei Teilerfolg (gemessen am Ergebnis der Anfechtung des vorinstanzlichen Entscheids) besteht grundsätzlich Anspruch auf eine reduzierte Parteientschädigung (vgl. § 2 Abs. 3 der kantonalen Verordnung des Verwaltungsgerichtes über den Anwaltstarif für Streitigkeiten vor dem Verwaltungsgericht, dem Versicherungsgericht, der Enteignungskommission und den Rekurskommissionen vom 2. September 2009 [RB-Nr. 176.6]).</w:t>
      </w:r>
    </w:p>
    <w:p>
      <w:r>
        <w:rPr>
          <w:b/>
        </w:rPr>
        <w:t>E. 4.1</w:t>
      </w:r>
    </w:p>
    <w:p>
      <w:r>
        <w:t>Im vorinstanzlichen Gerichtsverfahren hat das kantonale Gericht dem Beschwerdeführer zwar nicht die beantragte unbefristete Dreiviertelsrente über den 31. März 2008 hinaus zugesprochen (und auch von der eventualiter anbegehrten Rückweisung zur neuen Beurteilung abgesehen). Indes erwog es, der Anspruch auf eine ganze Rente bestehe bis 31. August 2007, jener auf eine Dreiviertelsrente bis 30. Juni 2008, weil die IV-Stelle die dreimonatige Frist von Art. 88a Abs. 1 IVV zu Unrecht nicht berücksichtigt habe. Aus diesem Grund erachtete es den Beschwerdeführer zu Recht als teilweise obsiegend. Dass das teilweise Obsiegen aus einem nicht gerügten, jedoch aufgrund der Rechtsanwendung von Amtes wegen zu berücksichtigenden Grund erfolgte, ändert nichts. Indes durfte das kantonale Gericht die Parteientschädigung ohne Verletzung von Bundesrecht anteilsmässig kürzen (E. 3.2 hievor). Zwar bringt der Beschwerdeführer zu Recht vor, dass bei Streitigkeiten um die Höhe einer Invalidenrente die Parteientschädigung nicht allein deswegen reduziert werden darf, weil der Beschwerde führenden Person nicht die beantragte ganze oder höhere Rente, sondern eine geringere Teilrente zugesprochen wird (Urteil I 246/96 vom 24. Februar 1997 E. 5d/cc; vgl. Urteil I 1/03 vom 15. April 2003, E. 6). Auch wenn grundsätzlich kein Anlass zu einer anderen Betrachtungsweise besteht, wenn statt einer unbefristeten oder länger dauernden Rente ein befristeter Anspruch oder ein solcher für eine kürzere als die beantragte Dauer zugesprochen wird, zumal die zeitliche Dimension ebenso wie die Höhe des Anspruches das Quantitativ betrifft, kommt die Zusprechung einer vollen Parteientschädigung trotz nur teilweisen Obsiegens nur in Frage, wenn die Beschwerde führende Person im Grundsatz obsiegt und lediglich im Masslichen (teilweise) unterliegt. So verhält es sich hier aber nicht. Die Rüge, im angefochtenen Entscheid werde die Entschädigung wegen (nur) teilweisen Obsiegens gekürzt, ist unbegründet.</w:t>
      </w:r>
    </w:p>
    <w:p>
      <w:r>
        <w:rPr>
          <w:b/>
        </w:rPr>
        <w:t>E. 4.2</w:t>
      </w:r>
    </w:p>
    <w:p>
      <w:r>
        <w:t>Zu prüfen bleibt, ob die vorinstanzlich auf Fr. 250.- festgesetzte Entschädigung sonstwie gegen Bundesrecht verstösst.</w:t>
      </w:r>
    </w:p>
    <w:p>
      <w:r>
        <w:rPr>
          <w:b/>
        </w:rPr>
        <w:t>E. 4.2.1</w:t>
      </w:r>
    </w:p>
    <w:p>
      <w:r>
        <w:t>Bei der Bemessung der Parteientschädigung sind kantonale Gerichte von Bundesrechts wegen nicht an allenfalls geltend gemachte Honoraransprüche gebunden, weshalb sie grundsätzlich auf die Einholung einer Kostennote verzichten können (Urteil 2P.83/1998 vom 5. Januar 1999 E. 3a). Die Vorinstanz sah (praxisgemäss) davon ab, vom Rechtsvertreter des Beschwerdeführers eine Honorarnote einzuholen und setzte den Aufwand für die Rechtsvertretung ermessensweise auf insgesamt sechs Stunden fest (½ Stunde Instruktion, drei Stunden Aktenstudium, ½ Stunde für das Abfassen der ersten sowie zwei Stunden für das Verfassen der zweiten Rechtsschrift). Angesichts der Umstände des konkreten Falles und des der Vorinstanz zustehenden weiten Ermessens liegt darin keine Willkür und auch sonst kein Verstoss gegen Bundesrecht, namentlich nicht gegen Art. 61 lit. g ATSG .</w:t>
      </w:r>
    </w:p>
    <w:p>
      <w:r>
        <w:rPr>
          <w:b/>
        </w:rPr>
        <w:t>E. 4.2.2</w:t>
      </w:r>
    </w:p>
    <w:p>
      <w:r>
        <w:t>Während im vorinstanzlichen Entscheid eine nachvollziehbare Begründung für die Festsetzung des Obsiegens fehlt, präzisierte die Vorinstanz mit letztinstanzlich eingereichter Stellungnahme, dieses sei mit einem Sechstel zu quantifizieren. Diese Gewichtung verletzt mit Blick auf die beantragte unbefristete Rente und die zugesprochene Verlängerung der ganzen bzw. Dreiviertelsrente um jeweils drei Monate kein Bundesrecht. Damit kann auch die Höhe der Entschädigung von Fr. 250.- (Fr. 1'500.-/6) nicht als unvereinbar mit Art. 61 lit. g ATSG bezeichnet werden, zumal die teilweise Gutheissung aus einem nicht gerügten, von Amtes wegen zu berücksichtigenden Nebenpunkt erfolgte und das Obsiegen damit als geringfügig bezeichnet werden muss.</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