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57/2008 vom 3. November 2008</w:t>
      </w:r>
    </w:p>
    <w:p>
      <w:r>
        <w:t>Bundesgericht, 2008-11-03, FR</w:t>
      </w:r>
    </w:p>
    <w:p>
      <w:r>
        <w:rPr>
          <w:b/>
        </w:rPr>
        <w:t xml:space="preserve">Quelle: </w:t>
      </w:r>
      <w:r>
        <w:t>https://mcp.opencaselaw.ch/entscheid/bger_9C_57_2008</w:t>
      </w:r>
    </w:p>
    <w:p>
      <w:r>
        <w:t>FR: TF 9C 57/2008 du 3 novembre 2008</w:t>
      </w:r>
    </w:p>
    <w:p>
      <w:r>
        <w:t>IT: TF 9C 57/2008 del 3 novembre 2008</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droit de l'assuré à une rente de l'assurance-invalidité pour la période courant du 1er juillet 2005 au 31 août 2006 n'est pas contesté. Seul demeure litigieux le droit à la rente pour la période postérieure au 31 août 2006.</w:t>
      </w:r>
    </w:p>
    <w:p>
      <w:r>
        <w:rPr>
          <w:b/>
        </w:rPr>
        <w:t>E. 2.2</w:t>
      </w:r>
    </w:p>
    <w:p>
      <w:r>
        <w:t>Le Tribunal cantonal des assurances a constaté en substance que l'assuré présentait depuis le 1er septembre 2006 une capacité résiduelle de travail de 50 % dans sa profession d'assistant en information documentaire. Pour fixer le degré d'invalidité en résultant, la juridiction cantonale a comparé un revenu sans invalidité de 75'364 fr. 10 avec un revenu d'invalide de 25'000 fr., correspondant au salaire perçu dans son activité actuelle, rapporté à un taux d'activité de 50 %, ce qui aboutissait à un degré d'invalidité de 67 %.</w:t>
      </w:r>
    </w:p>
    <w:p>
      <w:r>
        <w:rPr>
          <w:b/>
        </w:rPr>
        <w:t>E. 2.3</w:t>
      </w:r>
    </w:p>
    <w:p>
      <w:r>
        <w:t>En procédure fédérale, l'office recourant conteste uniquement le montant du revenu d'invalide retenu par les premiers juges. Il estime qu'en ne travaillant qu'à 45 % à la médiathèque de X.________, l'assuré n'épuise pas entièrement sa capacité résiduelle de travail qui s'élève à 50 %. En cela, l'assuré ne remplit pas l'une des conditions cumulatives posées par la jurisprudence pour que le revenu d'invalide soit fixé par référence au salaire perçu en contre-partie de l'activité effectivement exercée. Dans ces circonstances, il appartenait aux premiers juges de fixer ledit revenu en se référant aux données statistiques résultant de l'Enquête suisse sur la structure des salaires, et non en adaptant le salaire réalisé concrètement par l'intéressé à la capacité résiduelle de travail de 50 %.</w:t>
      </w:r>
    </w:p>
    <w:p>
      <w:r>
        <w:rPr>
          <w:b/>
        </w:rPr>
        <w:t>E. 3</w:t>
      </w:r>
    </w:p>
    <w:p>
      <w:r>
        <w:t>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publiée par l'Office fédéral de la statistique ou sur les données salariales résultant des descriptions de postes de travail établies par la CNA ( ATF 129 V 472 consid. 4.2.1 p. 475).</w:t>
      </w:r>
    </w:p>
    <w:p>
      <w:r>
        <w:rPr>
          <w:b/>
        </w:rPr>
        <w:t>E. 4</w:t>
      </w:r>
    </w:p>
    <w:p>
      <w:r>
        <w:t>En se fondant sur le salaire effectivement réalisé par l'assuré, rapporté au taux d'activité exigible, le Tribunal cantonal des assurances n'a pas violé le droit fédéral. Le recours aux données statistiques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La situation de l'assuré diffère cependant de ce cas de figure. S.________ a bénéficié d'une mesure de reclassement sous la forme d'un apprentissage d'assistant en information documentaire. Depuis l'obtention de son CFC, il exerce à temps partiel cette activité auprès de la médiathèque de X.________. Lorsqu'un assuré invalide est réadapté avec succès dans une nouvelle profession, il ne fait alors aucun sens de se référer aux valeurs statistiques, d'autant moins que celles-ci sont établies par branche d'activité et non pas par profession (cf. arrêt I 171/04 du 1er avril 2005 consid. 4.2, publié in: REAS 2005 p. 240). Le salaire de référence pour établir le revenu d'invalide doit nécessairement correspondre à celui qu'il peut réaliser au taux d'activité exigible de sa part dans l'activité dans laquelle il a été réadapté. C'est en effet dans cette profession que la personne assurée est normalement la mieux à même d'atténuer les conséquences économiques imputables à son état de santé. Dans ces conditions, il importe peu que la personne assurée n'épuise pas entièrement sa capacité résiduelle de travail.</w:t>
      </w:r>
    </w:p>
    <w:p>
      <w:r>
        <w:rPr>
          <w:b/>
        </w:rPr>
        <w:t>E. 5</w:t>
      </w:r>
    </w:p>
    <w:p>
      <w:r>
        <w:t>Mal fondé, le recours doit être rejeté. Vu l'issue du litige, les frais de la procédure sont mis à la charge du recourant ( art. 66 al. 1 LTF ). L'intimé a droit à une indemnité de dépens à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