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579/2021 vom 23. Juni 2022</w:t>
      </w:r>
    </w:p>
    <w:p>
      <w:r>
        <w:t>Bundesgericht, 2022-06-23, IT</w:t>
      </w:r>
    </w:p>
    <w:p>
      <w:r>
        <w:rPr>
          <w:b/>
        </w:rPr>
        <w:t xml:space="preserve">Quelle: </w:t>
      </w:r>
      <w:r>
        <w:t>https://mcp.opencaselaw.ch/entscheid/bger_9C_579_2021</w:t>
      </w:r>
    </w:p>
    <w:p>
      <w:r>
        <w:t>FR: TF 9C 579/2021 du 23 juin 2022</w:t>
      </w:r>
    </w:p>
    <w:p>
      <w:r>
        <w:t>IT: TF 9C 579/2021 del 23 giugno 2022</w:t>
      </w:r>
    </w:p>
    <w:p>
      <w:pPr>
        <w:pStyle w:val="Heading2"/>
      </w:pPr>
      <w:r>
        <w:t>Regeste</w:t>
      </w:r>
    </w:p>
    <w:p>
      <w:r>
        <w:t>Assicurazione per la vecchiaia e per i superstiti (ritiro del ricorso)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 B.________, al Tribunale delle assicurazioni del Cantone Ticino e all'Ufficio federale delle assicurazioni sociali. Lucerna, 23 giugno 2022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