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9C_578/2011 vom 10. Oktober 2012</w:t>
      </w:r>
    </w:p>
    <w:p>
      <w:r>
        <w:t>Bundesgericht, 2012-10-10, FR</w:t>
      </w:r>
    </w:p>
    <w:p>
      <w:r>
        <w:rPr>
          <w:b/>
        </w:rPr>
        <w:t xml:space="preserve">Quelle: </w:t>
      </w:r>
      <w:r>
        <w:t>https://mcp.opencaselaw.ch/entscheid/bger_9C_578_2011</w:t>
      </w:r>
    </w:p>
    <w:p>
      <w:r>
        <w:t>FR: TF 9C_578/2011 du 10 octobre 2012</w:t>
      </w:r>
    </w:p>
    <w:p>
      <w:r>
        <w:t>IT: TF 9C_578/2011 del 10 ottobre 2012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La juridiction cantonale a estimé que la recourante devait se voir imputer les taux d'invalidité retenus dans le cadre de la procédure en matière d'assurance-invalidité. En considérant que la réduction provisoire à une demi-rente pour la période courant du 1er décembre 2004 au 1er février 2005, exercée au titre d'une reconsidération, n'avait juridiquement pas lieu d'être, le Tribunal administratif fédéral avait consacré l'existence d'un droit à une rente entière d'invalidité sans interruption depuis le 1er décembre 1994. Les explications du Tribunal administratif fédéral mettaient clairement en évidence que le degré d'invalidité présenté par l'assuré était demeuré stable à 89 % jusqu'au 31 janvier 2005 et qu'il était tombé par la suite à 70 %, modification qui n'avait aucune incidence sur le droit à la rente. Dans ces conditions, il n'y avait pas lieu d'entrer en matière sur les arguments de la recourante relatifs à sa non-responsabilité à l'endroit de nouvelles atteintes qui seraient survenues ou qui se seraient manifestées après la résiliation du contrat de prévoyance. Il n'était en effet pas possible de conclure à un changement radical, au 1er février 2005, de la nature des atteintes qui frappaient l'assuré, changement qui aurait pu entraîner une libération partielle de la recourante. En suivant le raisonnement de la recourante, on remettrait par ailleurs en cause a posteriori l'octroi de la rente entière d'invalidité de la prévoyance professionnelle, pourtant admis par elle depuis plusieurs années, en se basant sur une prétendue erreur d'estimation de l'office AI, erreur qui ne pouvait toutefois plus être prise en compte juridiquement, vu l'entrée en force du jugement du Tribunal administratif fédéral.</w:t>
      </w:r>
    </w:p>
    <w:p>
      <w:r>
        <w:rPr>
          <w:b/>
        </w:rPr>
        <w:t>E. 2.2</w:t>
      </w:r>
    </w:p>
    <w:p>
      <w:r>
        <w:t>La recourante reproche à la juridiction cantonale d'avoir procédé à une constatation manifestement inexacte des faits pertinents, consécutive à une mauvaise appréciation des preuves, et d'avoir violé le droit fédéral. En substance, la juridiction cantonale aurait considéré de manière erronée que le degré d'invalidité de l'assuré était resté stable à 89 %, puis avait diminué à 70 % à compter du 1er février 2005. En réalité, le degré d'invalidité s'élevait à 58 %, comme l'avait constaté l'office AI, sans que sa décision ne soit remise en cause. La juridiction cantonale avait méconnu le fait que la rente entière d'invalidité avait été confirmée, non pas en raison de l'existence d'un taux d'invalidité ouvrant le droit à une telle rente, mais au motif que la décision de reconsidération prise par l'office AI ne pouvait pas avoir d'effet rétroactif. Elle aurait également méconnu le fait que l'institution de prévoyance était en droit, conformément à l' art. 49 LPP , d'adapter rétroactivement ses prestations au taux d'invalidité de 58 % retenu par l'office AI. Par ailleurs, elle n'aurait pas examiné dans quelle mesure la nouvelle cause à l'origine de l'augmentation du degré d'invalidité avait une incidence sur le droit à la rente. Or, il n'était pas contesté par les parties que l'état de santé de l'assuré s'était dégradé depuis novembre 2004 en raison d'une cause différente de celle à l'origine de la première invalidité. Faute de connexité matérielle, elle n'avait pas à répondre d'une augmentation de l'invalidité consécutive à cette aggravation.</w:t>
      </w:r>
    </w:p>
    <w:p>
      <w:r>
        <w:rPr>
          <w:b/>
        </w:rPr>
        <w:t>E. 3</w:t>
      </w:r>
    </w:p>
    <w:p>
      <w:r>
        <w:t>Est donc principalement litigieux en l'espèce le point de savoir si et, le cas échéant, à partir de quel moment, l'institution de prévoyance était en droit, compte tenu de la situation légale et réglementaire, de réduire les prestations d'invalidité qu'elle allouait à l'assuré.</w:t>
      </w:r>
    </w:p>
    <w:p>
      <w:r>
        <w:rPr>
          <w:b/>
        </w:rPr>
        <w:t>E. 3.1</w:t>
      </w:r>
    </w:p>
    <w:p>
      <w:r>
        <w:t>Dans le système de la prévoyance professionnelle, la LPP (pour le régime obligatoire de la prévoyance professionnelle), respectivement le règlement de prévoyance (lorsque l'institution de prévoyance a décidé d'étendre la prévoyance au-delà des exigences minimales fixées dans la loi) détermine les conditions auxquelles les différentes prestations sont allouées. 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 ATF 126 V 308 consid. 1 p. 311).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 ATF 118 V 35 consid. 2b/aa p. 40; 115 V 208 consid. 2c p. 212).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 s'applique, sous réserve du caractère d'emblée insoutenable de la décision de l'assurance-invalidité (voir arrêt B 39/03 du 9 février 2004 consid. 3.1). Pour examiner le point de savoir si l'évaluation de l'invalidité par l'assurance-invalidité se révèle d'emblée insoutenable, il y a lieu de se fonder sur l'état de fait résultant du dossier tel qu'il se présentait au moment du prononcé de la décision. Des faits ou des moyens de preuve nouveaux invoqués par la suite, que l'administration n'aurait pas été tenue d'administrer d'office, ne sont pas susceptibles de faire apparaître l'évaluation de l'invalidité par les organes de l'assurance-invalidité comme d'emblée insoutenable, du moins tant qu'il ne s'agit pas de faits ou de moyens de preuve nouveaux qui auraient conduit à une appréciation juridique différente et obligeraient l'office AI à revenir sur sa décision initiale dans le cadre d'une révision procédurale ( ATF 130 V 270 consid. 3.1 p. 274 et la référence).</w:t>
      </w:r>
    </w:p>
    <w:p>
      <w:r>
        <w:rPr>
          <w:b/>
        </w:rPr>
        <w:t>E. 3.2</w:t>
      </w:r>
    </w:p>
    <w:p>
      <w:r>
        <w:t>Même si cela n'est pas expressément précisé dans la loi ou le règlement, la personne assurée n'a droit à des prestations d'invalidité de la prévoyance professionnelle qu'aussi longtemps que les conditions posées à leur octroi demeurent remplies. Aussi bien en matière de prévoyance obligatoire, où la modification ou la suppression d'une rente est soumise aux mêmes conditions matérielles que la révision ou la reconsidération d'une rente de l'assurance-invalidité ( ATF 133 V 67 consid. 4.3.1 p. 68), qu'en matière de prévoyance plus étendue, le droit aux prestations doit en principe être adapté lorsque celui-ci ne correspond objectivement pas ou plus à la situation de fait ou de droit actuelle. Quand bien même une institution de prévoyance s'en tiendrait par principe aux décisions de l'assurance-invalidité, il est légitime, pour des motifs évidents liés à l'égalité de traitement entre les assurés, que celle-ci adapte ses prestations lorsqu'il apparaît a posteriori que celles-ci ont été allouées sur la base de critères manifestement insoutenables. Dès lors que la jurisprudence a reconnu le droit pour une institution de prévoyance de s'écarter d'une décision de l'assurance-invalidité lorsqu'elle est d'emblée insoutenable, il n'y a pas de raison en effet pour que celle-ci ne puisse pas en faire de même lorsqu'elle ne s'aperçoit qu'après coup du caractère manifestement erroné de la décision sur laquelle elle s'est fondée (MARC HÜRZELER, Invaliditätsproblematiken in der beruflichen Vorsorge, 2006, p. 202 n. 480). La seule limite qu'il y a lieu de poser à cette faculté est le respect des garanties et des principes constitutionnels qui régissent l'activité des institutions de prévoyance, soit l'égalité de traitement, l'interdiction de l'arbitraire, la proportionnalité ou encore la bonne foi.</w:t>
      </w:r>
    </w:p>
    <w:p>
      <w:r>
        <w:rPr>
          <w:b/>
        </w:rPr>
        <w:t>E. 3.3</w:t>
      </w:r>
    </w:p>
    <w:p>
      <w:r>
        <w:t>Pour déterminer le moment où la modification ou la suppression du droit à une rente d'invalidité de la prévoyance professionnelle prend effet, il convient, en matière de prévoyance obligatoire, mais également en matière de prévoyance plus étendue en l'absence de dispositions réglementaires contraires, d'appliquer par analogie le principe résultant de l' art. 88bis al. 2 RAI , selon lequel une décision de diminution ou de suppression de rente à la suite d'une procédure de révision ou de reconsidération ne saurait en principe déployer d'effet rétroactif. En règle générale, le droit à la rente sera modifié à la suite d'une décision rendue préalablement par les organes de l'assurance-invalidité ou de renseignements donnés spontanément par la personne assurée. Dans la mesure où il s'agit là de facteurs sur lesquels une institution de prévoyance n'a aucune maîtrise, elle doit néanmoins, même si elle s'en tient en principe à ce qu'ont décidé les organes de l'assurance-invalidité, avoir la possibilité d'établir les faits et d'administrer les moyens de preuve déterminants pour statuer sur le droit aux prestations. S'il en résulte que les conditions permettant la diminution ou la suppression de la rente sont remplies, l'institution de prévoyance est habilitée à procéder à l'adaptation de cette rente, avec effet au premier jour du second mois suivant la notification de la communication y relative, pour autant que la personne assurée ait respecté son obligation de renseigner, les actes d'instruction accomplis par l'institution de prévoyance ne pouvant se substituer à cette obligation. A défaut, la diminution ou la suppression de la rente doit prendre effet rétroactivement à la date où elle a cessé de correspondre aux droits de la personne assurée (voir ATF 133 V 67 consid. 4.3.5 p. 70).</w:t>
      </w:r>
    </w:p>
    <w:p>
      <w:r>
        <w:rPr>
          <w:b/>
        </w:rPr>
        <w:t>E. 4.1</w:t>
      </w:r>
    </w:p>
    <w:p>
      <w:r>
        <w:t>D'après l'art. 5 du règlement de prévoyance - dans sa teneur en vigueur depuis le 1er janvier 1985, applicable à la présente espèce -, il y a invalidité lorsqu'il est médicalement établi, sur la base de signes objectifs, que par suite de maladie (y compris le déclin des facultés mentales et physiques) ou de lésion corporelle involontaire, l'assuré n'est totalement ou partiellement plus en mesure d'exercer sa profession ou une autre activité lucrative conforme à sa position sociale, à ses connaissances et à ses aptitudes, ou qu'il est invalide au sens de l'AI (al. 1). En cas d'invalidité partielle, les prestations prévues pour une invalidité totale sont accordées proportionnellement au degré d'invalidité. L'invalidité de moins d'un quart n'ouvre pas droit aux prestations assurées. Les prestations pleines sont accordées en cas d'invalidité d'au moins deux tiers. D'éventuelles dispositions légales à teneur différente sont réservées. Le degré d'invalidité correspond au moins à celui que reconnaît l'AI (al. 2). Si l'invalidité a été intentionnellement causée ou aggravée, les prestations y relatives ne sont pas dues, à l'exception des prestations obligatoires selon la LPP; ces dernières seront toutefois réduites dans la mesure où l'AI refuse, réduit ou retire les siennes (al. 3).</w:t>
      </w:r>
    </w:p>
    <w:p>
      <w:r>
        <w:rPr>
          <w:b/>
        </w:rPr>
        <w:t>E. 4.2</w:t>
      </w:r>
    </w:p>
    <w:p>
      <w:r>
        <w:t>La disposition réglementaire relative à la notion d'invalidité va au-delà des exigences légales prévues pour la prévoyance professionnelle obligatoire sous un double aspect. D'une part, le règlement prévoit l'allocation d'une rente déjà à partir d'un degré d'invalidité de 25 %. D'autre part, la notion d'invalidité est définie de manière plus large que dans la LAI (et dans la LPP), puisque l'invalidité peut résulter de l'incapacité d'exercer sa profession ou une autre activité lucrative conforme à sa position sociale, à ses connaissances et à ses aptitudes, l'invalidité au sens de l'AI ne constituant qu'une alternative à cette possibilité (à propos d'une disposition réglementaire à la formulation identique, voir arrêt B 140/06 du 27 mars 2007 consid. 3.3).</w:t>
      </w:r>
    </w:p>
    <w:p>
      <w:r>
        <w:rPr>
          <w:b/>
        </w:rPr>
        <w:t>E. 5.1</w:t>
      </w:r>
    </w:p>
    <w:p>
      <w:r>
        <w:t>En l'occurrence, la recourante a adopté une définition de l'invalidité qui ne concorde pas avec celle de l'assurance-invalidité. Alors qu'elle pouvait statuer librement selon ses propres règles sans devoir s'en tenir à ce qu'avaient décidé les organes de l'assurance-invalidité, elle a néanmoins repris à son compte l'évaluation initiale de l'invalidité effectuée par l'office AI et, partant, considéré que l'assuré présentait un degré d'invalidité de 89 %.</w:t>
      </w:r>
    </w:p>
    <w:p>
      <w:r>
        <w:rPr>
          <w:b/>
        </w:rPr>
        <w:t>E. 5.2</w:t>
      </w:r>
    </w:p>
    <w:p>
      <w:r>
        <w:t>Pour les motifs mis en évidence précédemment, une institution de prévoyance ne saurait être liée, quand bien même elle s'en tiendrait par principe aux décisions de l'assurance-invalidité, par une décision dont le contenu est manifestement insoutenable. En l'occurrence, la recourante a estimé être en droit de modifier le droit à la rente de l'assuré en raison du caractère manifestement insoutenable des bases sur lesquelles celui-ci reposait. Dans ces conditions, il appartenait à la juridiction cantonale, dans le cadre de l'action dont elle était saisie, d'examiner le bien-fondé de la modification entreprise par la recourante, cela indépendamment de l'issue de la procédure qui était pendante en matière d'assurance-invalidité. En ne procédant pas à cet examen, les premiers juges ont par conséquent violé le droit fédéral.</w:t>
      </w:r>
    </w:p>
    <w:p>
      <w:r>
        <w:rPr>
          <w:b/>
        </w:rPr>
        <w:t>E. 5.3</w:t>
      </w:r>
    </w:p>
    <w:p>
      <w:r>
        <w:t>En soutenant que les parties, en donnant leur accord à la suspension de la procédure cantonale dans l'attente de la décision finale en matière d'assurance-invalidité, se seraient déclarées l'une et l'autre liées par la décision du Tribunal administratif fédéral, la juridiction cantonale est arrivée à une conclusion parfaitement insoutenable au regard de l'issue de la procédure en matière d'assurance-invalidité. Contrairement à ce que semble penser la juridiction cantonale - qui a procédé en l'espèce à une lecture biaisée du jugement en matière d'assurance-invalidité -, le Tribunal administratif fédéral n'a pas examiné le point de savoir s'il existait un motif de reconsidération, puisqu'il a considéré que cette question n'avait pas d'influence sur l'issue du litige dont il avait à traiter ("la question de savoir si les conditions d'une reconsidération au sens de l' art. 53 al. 2 LPGA sont remplies en l'espèce, si l'OAIE y a à juste titre procédé et si le taux d'invalidité de 58 % qui en résulte est correct peut être laissée ouverte dans le cas présent" [consid. 4.3]). Faute pour le Tribunal administratif fédéral de s'être prononcé sur le bien-fondé d'une éventuelle reconsidération - question à l'origine de la cause -, la recourante ne pouvait à l'évidence se déclarer liée par le jugement de cette autorité.</w:t>
      </w:r>
    </w:p>
    <w:p>
      <w:r>
        <w:rPr>
          <w:b/>
        </w:rPr>
        <w:t>E. 5.4</w:t>
      </w:r>
    </w:p>
    <w:p>
      <w:r>
        <w:t>Quoi qu'il en soit, le jugement entrepris n'a pas examiné la question de la modification du droit à la rente de la prévoyance professionnelle de l'assuré. Par conséquent, le recours doit être partiellement admis, le jugement attaqué annulé et la cause renvoyée à la juridiction cantonale pour qu'elle examine si, et le cas échéant à partir de quel moment, la recourante était en droit de réduire les prestations qu'elle allouait à l'assuré.</w:t>
      </w:r>
    </w:p>
    <w:p>
      <w:r>
        <w:rPr>
          <w:b/>
        </w:rPr>
        <w:t>E. 6</w:t>
      </w:r>
    </w:p>
    <w:p>
      <w:r>
        <w:t>Le cas échéant, la juridiction cantonale devra également examiner la question de savoir s'il doit être tenu compte, dans l'examen du droit aux prestations de la prévoyance professionnelle de l'assuré, de la dégradation de son état de santé intervenue au cours de l'année 2004.</w:t>
      </w:r>
    </w:p>
    <w:p>
      <w:r>
        <w:rPr>
          <w:b/>
        </w:rPr>
        <w:t>E. 6.1</w:t>
      </w:r>
    </w:p>
    <w:p>
      <w:r>
        <w:t>Conformément à l' art. 23 LPP ,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 art. 28 al. 1 let. b LAI , mais correspond à la survenance de l'incapacité de travail dont la cause est à l'origine de l'invalidité; les mêmes principes sont applicables en matière de prévoyance plus étendue, à tout le moins en l'absence de dispositions réglementaires ou statutaires contraires ( ATF 123 V 262 consid. 1b p. 264).</w:t>
      </w:r>
    </w:p>
    <w:p>
      <w:r>
        <w:rPr>
          <w:b/>
        </w:rPr>
        <w:t>E. 6.2</w:t>
      </w:r>
    </w:p>
    <w:p>
      <w:r>
        <w:t>Selon la jurisprudence, l'événement assuré au sens de l' art. 23 LPP est donc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tenue de prendre en charge le cas, même si le degré d'invalidité se modifie après la fin des rapports de prévoyance. Dans ce sens, la perte de la qualité d'assuré ne constitue pas un motif d'extinction du droit aux prestations au sens de l' art. 26 al. 3 LPP ( ATF 123 V 262 consid. 1a p. 263; 118 V 35 consid. 5 p. 45). Cependant, pour que l'institution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 ATF 130 V 270 consid. 4.1 p. 275).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 ATF 123 V 262 consid. 1c p. 264; 120 V 112 consid. 2c/aa p. 117).</w:t>
      </w:r>
    </w:p>
    <w:p>
      <w:r>
        <w:rPr>
          <w:b/>
        </w:rPr>
        <w:t>E. 6.3</w:t>
      </w:r>
    </w:p>
    <w:p>
      <w:r>
        <w:t>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 art. 23 LPP , d'examiner séparément, en relation avec chaque atteinte à la santé, si l'incapacité de travail qui en a résulté est survenue durant l'affiliation à l'institution de prévoyance et est à l'origine d'une invalidité (arrêt B 32/05 du 24 juillet 2006 consid. 6 et la référence).</w:t>
      </w:r>
    </w:p>
    <w:p>
      <w:r>
        <w:rPr>
          <w:b/>
        </w:rPr>
        <w:t>E. 6.4</w:t>
      </w:r>
    </w:p>
    <w:p>
      <w:r>
        <w:t>En considérant qu'il n'y avait "pas lieu d'entrer en matière sur les arguments de la défenderesse relatifs à sa non-responsabilité à l'endroit de nouvelles atteintes qui seraient survenues ou qui se seraient manifestées après la résiliation du contrat de prévoyance", la juridiction cantonale n'a pas tranché une question juridique, qui, dans l'hypothèse où les conditions autorisant la modification du droit à la rente étaient remplies, était susceptible, eu égard aux principes jurisprudentiels exposés ci-dessus, d'avoir une influence sur le droit aux prestations de la prévoyance professionnelle. Contrairement à ce que laisse entendre la juridiction cantonale, il ressort indubitablement des pièces médicales versées au dossier que l'assuré a présenté au cours de l'année 2004 de nouvelles atteintes à la santé, notamment une insuffisance cardiaque, qui ont péjoré son état de santé (voir le rapport du Centre X.________ du 27 juin 2007).</w:t>
      </w:r>
    </w:p>
    <w:p>
      <w:r>
        <w:rPr>
          <w:b/>
        </w:rPr>
        <w:t>E. 7</w:t>
      </w:r>
    </w:p>
    <w:p>
      <w:r>
        <w:t>Bien fondé, le recours doit être admis et le jugement attaqué annulé. La partie intimée,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