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9C_578/2009 vom 29. Dezember 2009</w:t>
      </w:r>
    </w:p>
    <w:p>
      <w:r>
        <w:t>Bundesgericht, 2009-12-29, FR</w:t>
      </w:r>
    </w:p>
    <w:p>
      <w:r>
        <w:rPr>
          <w:b/>
        </w:rPr>
        <w:t xml:space="preserve">Quelle: </w:t>
      </w:r>
      <w:r>
        <w:t>https://mcp.opencaselaw.ch/entscheid/bger_9C_578_2009</w:t>
      </w:r>
    </w:p>
    <w:p>
      <w:r>
        <w:t>FR: TF 9C_578/2009 du 29 décembre 2009</w:t>
      </w:r>
    </w:p>
    <w:p>
      <w:r>
        <w:t>IT: TF 9C_578/2009 del 29 dicembre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 fondant sur les conclusions convergentes du docteur B.________ et de l'expertise économique de l'exploitation agricole, les premiers juges ont considéré que l'intimé disposait d'une capacité résiduelle de travail de 50 % dans son activité habituelle d'agriculteur. Compte tenu de son âge et de la nature de ses limitations fonctionnelles, et du fait qu'il a toujours travaillé en qualité d'agriculteur indépendant, il n'était pas réaliste d'exiger de l'intimé qu'il change d'activité. Au contraire, il convenait de prendre en considération les efforts auxquels l'intimé avait consenti pour endiguer seul l'atteinte à sa capacité de gain, efforts qui pouvaient être assimilés à de l'auto-réadaptation.</w:t>
      </w:r>
    </w:p>
    <w:p>
      <w:r>
        <w:rPr>
          <w:b/>
        </w:rPr>
        <w:t>E. 3.1</w:t>
      </w:r>
    </w:p>
    <w:p>
      <w:r>
        <w:t>L'office recourant reproche en premier lieu à la juridiction cantonale d'avoir procédé à une appréciation arbitraire des preuves en retenant une capacité résiduelle de travail de 50 % et en ne tenant pas compte de l'avis émis par le SMR faisant état d'une capacité de travail de 70 % dans une activité adaptée.</w:t>
      </w:r>
    </w:p>
    <w:p>
      <w:r>
        <w:rPr>
          <w:b/>
        </w:rPr>
        <w:t>E. 3.2</w:t>
      </w:r>
    </w:p>
    <w:p>
      <w:r>
        <w:t>Ce faisant, l'office recourant ne tente nullement d'établir, au moyen d'une argumentation circonstanciée, que le contenu des rapports établis par le docteur B.________ serait critiquable ou que la prise de position du SMR serait objectivement plus convaincante. Pour établir que l'appréciation des premiers juges serait arbitraire, il ne suffit pas d'affirmer - comme le fait l'office recourant - que le SMR est de manière générale mieux à même de se prononcer, en fonction des limitations fonctionnelles reconnues, sur l'adéquation d'un poste adapté que ne l'est le médecin traitant. De manière générale, on ne saurait remettre en cause l'appréciation des premiers juges au seul motif qu'il existerait au dossier un avis médical divergent émanant d'une source prétendument plus qualifiée, tout particulièrement lorsque la divergence ne porte que sur la question de la capacité résiduelle de travail. Ainsi, il n'y a pas lieu de douter de la valeur probante et, partant, d'écarter les rapports médicaux établis par le docteur B.________ pour la simple et unique raison qu'ils émaneraient du médecin traitant de l'intimé.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la documentation médicale. L'office recourant ne cherche pas à établir que tel serait le cas en l'espèce. Pour le surplus, on ajoutera qu'il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w:t>
      </w:r>
    </w:p>
    <w:p>
      <w:r>
        <w:rPr>
          <w:b/>
        </w:rPr>
        <w:t>E. 4.1</w:t>
      </w:r>
    </w:p>
    <w:p>
      <w:r>
        <w:t>Dans un second grief, l'office recourant estime que sous l'angle de l'obligation de réduire le dommage, un changement d'activité lucrative apparaît raisonnablement exigible de la part d'un assuré âgé de 54 ans à l'échéance du délai de carence d'une année, respectivement de 57 ans au moment de la décision administrative litigieuse. Il n'existerait par ailleurs aucune autre circonstance, telles que l'absence de formation ou des difficultés linguistiques, qui empêcherait un changement de profession, l'intimé étant de langue maternelle française et les activités envisagées ne requérant aucune connaissance professionnelle spécialisée ou formation professionnelle complémentaire.</w:t>
      </w:r>
    </w:p>
    <w:p>
      <w:r>
        <w:rPr>
          <w:b/>
        </w:rPr>
        <w:t>E. 4.2.1</w:t>
      </w:r>
    </w:p>
    <w:p>
      <w:r>
        <w:t>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w:t>
      </w:r>
    </w:p>
    <w:p>
      <w:r>
        <w:rPr>
          <w:b/>
        </w:rPr>
        <w:t>E. 4.2.2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w:t>
      </w:r>
    </w:p>
    <w:p>
      <w:r>
        <w:rPr>
          <w:b/>
        </w:rPr>
        <w:t>E. 4.2.3</w:t>
      </w:r>
    </w:p>
    <w:p>
      <w:r>
        <w:t>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 ATF 113 V 22 consid. 4d p. 32; MARC HÜRZELER, Prävention im Haftpflicht- und Sozialversicherungsrecht, in Prävention im Recht, 2007, p. 172 sv.).</w:t>
      </w:r>
    </w:p>
    <w:p>
      <w:r>
        <w:rPr>
          <w:b/>
        </w:rPr>
        <w:t>E. 4.2.4</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9C_236/2009 du 7 octobre 2009 consid. 4.3 et les références; voir également arrêt 8C_748/2008 du 10 juin 2009 consid. 4; s'agissant de la situation d'un agriculteur, voir arrêt I 38/06 du 7 juin 2006 consid. 3.2 et les références).</w:t>
      </w:r>
    </w:p>
    <w:p>
      <w:r>
        <w:rPr>
          <w:b/>
        </w:rPr>
        <w:t>E. 4.3.1</w:t>
      </w:r>
    </w:p>
    <w:p>
      <w:r>
        <w:t>Selon les constatations du Tribunal cantonal, qui lient le Tribunal fédéral (cf. supra consid. 1 et 3), l'intimé dispose d'une capacité résiduelle de travail attestée médicalement de 50 % qu'il peut exploiter aussi bien dans son activité habituelle d'agriculteur que dans toute autre activité adaptée à ses limitations fonctionnelles. Dans la première hypothèse, l'intimé peut prétendre à l'octroi d'une demi-rente d'invalidité, tandis que dans la seconde hypothèse il n'aurait droit, compte tenu du revenu qu'il pourrait raisonnablement réaliser dans une activité adaptée (calculé sur la base des données statistiques résultant de l'Enquête suisse sur la structure des salaires), qu'à l'allocation d'un quart de rente.</w:t>
      </w:r>
    </w:p>
    <w:p>
      <w:r>
        <w:rPr>
          <w:b/>
        </w:rPr>
        <w:t>E. 4.3.2</w:t>
      </w:r>
    </w:p>
    <w:p>
      <w:r>
        <w:t>C'est à la lumière des circonstances concrètes de la présente affaire qu'il convient d'examiner si l'intimé peut être tenu de mettre fin à son activité indépendante d'agriculteur au profit d'une activité salariée plus lucrative.</w:t>
      </w:r>
    </w:p>
    <w:p>
      <w:r>
        <w:t>En premier lieu, il convient de constater que l'intimé n'a pas véritablement mis en oeuvre, pour peu que cela soit objectivement possible dans une entreprise agricole du type et de la taille de celle de l'intimé, de mesures tendant à adapter son activité à ses capacités résiduelles. Il ressort de l'enquête économique établie dans le cadre de l'instruction du dossier - dont les constatations principales ont été reprises dans le jugement attaqué - que l'intimé se limite désormais à accomplir les tâches d'exploitation qui sont encore à sa portée sur le plan physique et qu'il est désormais suppléé par son fils pour les autres travaux.</w:t>
      </w:r>
    </w:p>
    <w:p>
      <w:r>
        <w:t>D'un point de vue objectif, rien ne fait obstacle à ce que l'intimé change d'activité professionnelle. Âgé de 57 ans au moment de la décision litigieuse, l'intimé n'avait pas atteint l'âge à partir duquel la jurisprudence considère généralement qu'il n'existe plus de possibilité réaliste de mise en valeur de la capacité résiduelle de travail sur un marché de l'emploi supposé équilibré (cf. arrêts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w:t>
      </w:r>
    </w:p>
    <w:p>
      <w:r>
        <w:t>Cela étant, l'intimé ne semble posséder aucune expérience professionnelle dans un domaine économique autre que celui dans lequel il oeuvre actuellement. L'exercice d'une nouvelle activité adaptée aux limitations fonctionnelles l'affectant impliquerait, en tout état de cause, une reconversion professionnelle. Dans les faits, le passage du statut d'agriculteur indépendant à celui de salarié constitue une profonde remise en question socio-professionnelle, qui présuppose des facultés d'adaptation considérables d'un point de vue subjectif. L'enquête économique a mis en évidence que l'intimé peinait à comprendre et à s'adapter aux exigences liées à la mutation structurelle actuellement en cours dans l'agriculture. Au regard de son âge et de son état d'esprit, il apparaît douteux que l'intimé soit en mesure de s'intégrer dans une démarche personnelle de remise en question professionnelle.</w:t>
      </w:r>
    </w:p>
    <w:p>
      <w:r>
        <w:t>On relèvera pour finir que les perspectives de revenu offertes par un changement d'activité ne sont que légèrement plus élevées par rapport au revenu que l'intimé serait en mesure d'obtenir dans le cadre de son activité agricole. Même si son exploitation agricole est très probablement condamnée à disparaître à plus ou moins brève échéance, il paraît difficile dans ces conditions d'exiger de l'intimé, eu égard à l'attachement subjectif et personnel qui le lie à son entreprise, qu'il l'abandonne pour se lancer dans la recherche aléatoire d'un emploi adapté à ses limitations fonctionnelles.</w:t>
      </w:r>
    </w:p>
    <w:p>
      <w:r>
        <w:rPr>
          <w:b/>
        </w:rPr>
        <w:t>E. 4.3.3</w:t>
      </w:r>
    </w:p>
    <w:p>
      <w:r>
        <w:t>Au vu de l'ensemble des circonstances, aussi bien favorables que défavorables, et même si la présente affaire doit assurément être regardée comme un cas limite, il convient d'admettre que le Tribunal cantonal n'a pas abusé de son pouvoir d'appréciation, en considérant qu'il ne pouvait être exigé de l'intimé qu'il change d'activité afin de réaliser un revenu excluant le droit à une demi-rente d'invalidité.</w:t>
      </w:r>
    </w:p>
    <w:p>
      <w:r>
        <w:rPr>
          <w:b/>
        </w:rPr>
        <w:t>E. 5</w:t>
      </w:r>
    </w:p>
    <w:p>
      <w:r>
        <w:t>Mal fondé, le recours doit être rejeté. L'office recourant, qui succombe, supportera les frais judiciaires afférents à la présente procédure (art. 66 al. 1, 1ère phrase, LTF). L'intimé a droit à une indemnité de dépens à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