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9C_577/2008 vom 11. November 2008</w:t>
      </w:r>
    </w:p>
    <w:p>
      <w:r>
        <w:t>Bundesgericht, 2008-11-11, FR</w:t>
      </w:r>
    </w:p>
    <w:p>
      <w:r>
        <w:rPr>
          <w:b/>
        </w:rPr>
        <w:t xml:space="preserve">Quelle: </w:t>
      </w:r>
      <w:r>
        <w:t>https://mcp.opencaselaw.ch/entscheid/bger_9C_577_2008</w:t>
      </w:r>
    </w:p>
    <w:p>
      <w:r>
        <w:t>FR: TF 9C_577/2008 du 11 novembre 2008</w:t>
      </w:r>
    </w:p>
    <w:p>
      <w:r>
        <w:t>IT: TF 9C_577/2008 del 11 novembre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Est litigieuse la question de savoir si l'intimée a droit à une rente entière d'invalidité au-delà du 31 décembre 2004.</w:t>
      </w:r>
    </w:p>
    <w:p>
      <w:r>
        <w:rPr>
          <w:b/>
        </w:rPr>
        <w:t>E. 3</w:t>
      </w:r>
    </w:p>
    <w:p>
      <w:r>
        <w:t>Après examen des trois expertises médicales au dossier, la juridiction cantonale a fait siennes les conclusions de l'expert judiciaire K.________, auxquelles elle a reconnu pleine valeur probante et selon lesquelles l'assurée souffrait d'un épisode dépressif sévère sans symptômes psychotiques et d'une probable modification durable de la personnalité après une maladie psychiatrique, l'empêchant d'exercer une activité lucrative depuis mai 2003. Aussi, a-t-elle retenu que S.________ présentait une incapacité totale de travail et avait droit, en conséquence, à une rente entière d'invalidité à compter du 1er mai 2004.</w:t>
      </w:r>
    </w:p>
    <w:p>
      <w:r>
        <w:rPr>
          <w:b/>
        </w:rPr>
        <w:t>E. 4</w:t>
      </w:r>
    </w:p>
    <w:p>
      <w:r>
        <w:t>L'office recourant fait tout d'abord grief à la juridiction cantonale d'avoir violé son droit d'être entendu en ne transmettant pas à l'expert judiciaire sa liste de questions en lien avec le rapport d'expertise.</w:t>
      </w:r>
    </w:p>
    <w:p>
      <w:r>
        <w:t>La violation du droit d'être entendu (sur cette notion en relation avec l'administration des preuves, cf. notamment ATF 130 II 425 consid. 2.1 p. 429; 119 Ib 492 consid. 5b/bb p. 505) dans le sens invoqué par le recourant ( art. 29 al. 2 Cst ) est une question qui n'a pas de portée propre par rapport au grief tiré d'une mauvaise appréciation des preuves. Le juge peut effectivement renoncer à accomplir certains actes d'instruction sans que cela n'entraîne une violation du droit d'être entendu (SVR 2001 IV n° 10 p. 28 consid. 4b)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1999, p. 212 n° 450; KÖLZ/HÄNER, Verwaltungsverfahren und Verwaltungsrechtspflege des Bundes, 2e éd. 1998, p. 39 n° 111 et p. 117 n° 320; FRITZ GYGI, Bundesverwaltungsrechtspflege, 2e éd. 1983 p. 274).</w:t>
      </w:r>
    </w:p>
    <w:p>
      <w:r>
        <w:t>En l'espèce, l'office recourant a pu demander directement à l'expert K.________ de confirmer qu'il avait personnellement procédé à l'examen de S.________ et rédigé lui-même le rapport d'expertise y relatif, questions auxquelles le médecin a répondu par l'affirmative. En ce qui concerne les autres questions que le recourant souhaitait poser à l'expert, les juges cantonaux ont expliqué (cf. consid. 6 du jugement attaqué) qu'elles ne lui avaient pas été transmises car ils estimaient que les réponses recherchées figuraient déjà dans le rapport d'expertise et avaient pour seul but de remettre en cause l'ensemble dudit rapport. Dans ces circonstances, la juridiction cantonale pouvait renoncer à soumettre à l'expert la liste des questions préparée par le recourant, en application des principes de libre appréciation des preuves ou d'appréciation anticipée des preuves.</w:t>
      </w:r>
    </w:p>
    <w:p>
      <w:r>
        <w:rPr>
          <w:b/>
        </w:rPr>
        <w:t>E. 5</w:t>
      </w:r>
    </w:p>
    <w:p>
      <w:r>
        <w:t>Le recourant fait ensuite valoir qu'en écartant les expertises du SMR et du docteur M.________ par une motivation laconique, la juridiction cantonale a procédé à une appréciation arbitraire des moyens de preuve.</w:t>
      </w:r>
    </w:p>
    <w:p>
      <w:r>
        <w:t>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t>Dans son ordonnance d'expertise du 17 décembre 2007, la juridiction cantonale a déjà expliqué de manière convaincante pourquoi elle ne pouvait se fonder sur l'expertise du SMR ni sur celle du docteur M.________ pour se prononcer de manière fiable sur l'état de santé de l'assurée. Si elle admettait que l'expertise du SMR remplissait à priori les réquisits jurisprudentiels pour lui accorder pleine valeur probante, ses conclusions allaient cependant à l'encontre de la quasi-totalité des autres avis médicaux se trouvant au dossier, lesquels concluaient à la persistance d'un état dépressif récurrent sévère au-delà de l'année 2004. Dans son rapport d'expertise du 13 décembre 2004, le docteur M.________ faisait état d'une amélioration de la capacité de travail dès janvier 2005, puis d'une guérison dès février 2005, alors qu'il avait vu l'assurée pour la dernière fois plusieurs mois auparavant, à savoir le 24 août 2004. Ses conclusions étaient donc uniquement fondées sur des suppositions qui n'avaient pas été confirmées par la suite. D'autre part, le docteur M.________ avait fait l'objet d'une plainte de la part de S.________ auprès de la Commission de surveillance des professions de la santé, laquelle avait ouvert une enquête et retenu des agissements professionnels incorrects de ce médecin dans le cadre de l'expertise effectuée sur la personne de l'assurée. Au vu de ce qui précède, la juridiction cantonale n'est pas tombée dans l'arbitraire en écartant l'expertise du SMR ainsi que celle du docteur M.________.</w:t>
      </w:r>
    </w:p>
    <w:p>
      <w:r>
        <w:rPr>
          <w:b/>
        </w:rPr>
        <w:t>E. 6</w:t>
      </w:r>
    </w:p>
    <w:p>
      <w:r>
        <w:t>Dans un troisième grief, le recourant conteste la valeur probante de l'expertise judiciaire en raison des circonstances dans lesquelles s'est déroulée cette dernière (atmosphère tendue lors du premier entretien, examinateurs s'appliquant à ménager la susceptibilité de l'expertisée, présence du mari de l'expertisée lors du second entretien).</w:t>
      </w:r>
    </w:p>
    <w:p>
      <w:r>
        <w:t>En l'espèce, on ne voit pas en quoi les faits relevés par le recourant devraient priver les conclusions de l'expert judiciaire de toute valeur probante. Quoi qu'il en soit, le recourant ne démontre nullement que les circonstances précitées auraient eu une influence négative sur les conclusions de l'expertise. Par conséquent, ce grief est également mal fondé.</w:t>
      </w:r>
    </w:p>
    <w:p>
      <w:r>
        <w:rPr>
          <w:b/>
        </w:rPr>
        <w:t>E. 7</w:t>
      </w:r>
    </w:p>
    <w:p>
      <w:r>
        <w:t>Le recours se révélant manifestement infondé, il convient de statuer selon la procédure prévue à l' art. 109 al. 2 let. a LTF sans qu'il y ait lieu d'ordonner un échange d'écritures. Le présent arrêt rend en outre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