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9C_576/2010 vom 26. April 2011</w:t>
      </w:r>
    </w:p>
    <w:p>
      <w:r>
        <w:t>Bundesgericht, 2011-04-26, FR</w:t>
      </w:r>
    </w:p>
    <w:p>
      <w:r>
        <w:rPr>
          <w:b/>
        </w:rPr>
        <w:t xml:space="preserve">Quelle: </w:t>
      </w:r>
      <w:r>
        <w:t>https://mcp.opencaselaw.ch/entscheid/bger_9C_576_2010</w:t>
      </w:r>
    </w:p>
    <w:p>
      <w:r>
        <w:t>FR: TF 9C_576/2010 du 26 avril 2011</w:t>
      </w:r>
    </w:p>
    <w:p>
      <w:r>
        <w:t>IT: TF 9C_576/2010 del 26 aprile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jugé en substance qu'il était « incompréhensible », au vu de la nécessité pour l'intimée de changer d'activité professionnelle et des réserves émises par l'office recourant sur la formation envisagée, que celui-ci n'ait pas mis en oeuvre une mesure d'orientation professionnelle afin d'objectiver ses doutes sur le projet de l'intimée, ce qui aurait permis de déterminer si ledit projet était réaliste ou non avant son initialisation. Faute de l'avoir fait, l'office recourant ne pouvait considérer qu'il avait pris les mesures suffisantes pour permettre à l'intimée de se repositionner sur le marché du travail et se prévaloir de l'attestation signée par l'intimée au cours de la procédure. Pour évaluer quelles étaient les possibilités de gain de l'intimée à peu près équivalentes à celles que lui offrait son ancienne activité et quelle était la mesure la plus appropriée, il appartenait à l'office recourant de ne pas tenir compte uniquement des préférences de l'intimée, mais bien des possibilités de gain existant sur l'ensemble du marché du travail, qui ne peuvent être déterminées qu'en procédant à une mesure d'orientation professionnelle, ce qu'il n'a pas fait. En prenant en charge une mesure de reclassement, l'office recourant a par ailleurs admis que la mesure de réadaptation était appropriée au but de réadaptation poursuivi par l'assurance-invalidité, tant objectivement que subjectivement. Sur le vu de ces éléments, il convenait de renvoyer le dossier à l'office recourant pour qu'il mette en oeuvre la mesure d'orientation professionnelle requise initialement et, suivant les résultats de celle-ci, qu'il procède à une observation professionnelle afin d'apprécier la motivation de l'intimée à suivre une éventuelle nouvelle formation avant de déterminer l'éventuelle prise en charge de nouvelles mesures de reclassement.</w:t>
      </w:r>
    </w:p>
    <w:p>
      <w:r>
        <w:rPr>
          <w:b/>
        </w:rPr>
        <w:t>E. 2.2</w:t>
      </w:r>
    </w:p>
    <w:p>
      <w:r>
        <w:t>L'office recourant reproche à la juridiction cantonale d'avoir mal apprécié les faits de la cause. Il ressortait en effet clairement du dossier que l'intimée, dûment avertie dès le mois de mars 2007 des risques d'échec de sa formation, avait décidé en pleine connaissance de cause de poursuivre son projet, risques qu'elle s'était engagée à assumer en cas d'échec. Dans ces conditions, l'intimée ne pouvait demander de bonne foi la prise en charge d'autres mesures d'ordre professionnel après que son projet eut échoué.</w:t>
      </w:r>
    </w:p>
    <w:p>
      <w:r>
        <w:rPr>
          <w:b/>
        </w:rPr>
        <w:t>E. 3</w:t>
      </w:r>
    </w:p>
    <w:p>
      <w:r>
        <w:t>La question litigieuse porte en l'espèce sur la question de savoir si l'office recourant était en droit de mettre un terme à ses prestations, malgré l'échec de la mesure de reclassement allouée à l'intimée.</w:t>
      </w:r>
    </w:p>
    <w:p>
      <w:r>
        <w:rPr>
          <w:b/>
        </w:rPr>
        <w:t>E. 3.1</w:t>
      </w:r>
    </w:p>
    <w:p>
      <w:r>
        <w:t>Selon l' art. 17 al. 1 LAI , l'assuré a droit au reclassement dans une nouvelle profession si son invalidité rend cette mesure nécessaire et que sa capacité de gain peut ainsi, selon toute vraisemblance, être maintenue ou améliorée.</w:t>
      </w:r>
    </w:p>
    <w:p>
      <w:r>
        <w:rPr>
          <w:b/>
        </w:rPr>
        <w:t>E. 3.2</w:t>
      </w:r>
    </w:p>
    <w:p>
      <w:r>
        <w:t>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3.3</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 ATF 130 V 488 consid. 4.2 p. 489 et les références).</w:t>
      </w:r>
    </w:p>
    <w:p>
      <w:r>
        <w:rPr>
          <w:b/>
        </w:rPr>
        <w:t>E. 3.4</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 ATF 124 V 108 consid. 2a p. 110). Une mesure de reclassement ne saurait être interrompue de façon prématurée, aussi longtemps que le but de réadaptation visé peut, dans les limites de la proportionnalité, encore être atteint (arrêt I 34/95 du 21 juillet 1995 consid. 3c).</w:t>
      </w:r>
    </w:p>
    <w:p>
      <w:r>
        <w:rPr>
          <w:b/>
        </w:rPr>
        <w:t>E. 3.5</w:t>
      </w:r>
    </w:p>
    <w:p>
      <w:r>
        <w:t>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(arrêt I 131/98 du 23 décembre 1998 consid. 3b, in VSI 2000 p. 29).</w:t>
      </w:r>
    </w:p>
    <w:p>
      <w:r>
        <w:rPr>
          <w:b/>
        </w:rPr>
        <w:t>E. 4</w:t>
      </w:r>
    </w:p>
    <w:p>
      <w:r>
        <w:t>En renvoyant la cause à l'office recourant, la juridiction cantonale n'a pas violé le droit fédéral.</w:t>
      </w:r>
    </w:p>
    <w:p>
      <w:r>
        <w:rPr>
          <w:b/>
        </w:rPr>
        <w:t>E. 4.1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(arrêt 9C_236/2009 du 7 octobre 2009 consid. 4.4.1).</w:t>
      </w:r>
    </w:p>
    <w:p>
      <w:r>
        <w:rPr>
          <w:b/>
        </w:rPr>
        <w:t>E. 4.2</w:t>
      </w:r>
    </w:p>
    <w:p>
      <w:r>
        <w:t>En l'occurrence, l'office recourant a, par communication des 13 novembre 2007, 11 février 2008 et 21 avril 2008, alloué à l'intimée une mesure de reclassement consistant en une formation d'employée administrative et, partant, considéré, implicitement du moins, que cette mesure était appropriée pour lui permettre de recouvrer une capacité de gain satisfaisante. Eu égard à l'objet du litige, la présente procédure n'est pas le lieu pour examiner le bien-fondé de l'octroi de cette mesure. Dans la mesure où l'office recourant a considéré que l'intimée pouvait prétendre, dans son principe, à une mesure de reclassement en raison de son invalidité, il était tenu de lui octroyer la formation complète et appropriée qui était nécessaire dans son cas. En prenant en charge une mesure de reclassement qu'il n'estimait pas, dès l'origine, appropriée, l'office recourant ne s'est toutefois pas conformé aux obligations fixées par la loi et la jurisprudence (cf. supra consid. 3.3) et, partant, a violé le droit fédéral. L'intimée n'a toutefois pas à subir les conséquences dommageables d'un comportement principalement imputable à l'office recourant. Dans la mesure où le reclassement n'avait pas - encore - atteint le but de réadaptation visé, il appartenait à l'office recourant de prendre les mesures nécessaires pour remédier à cette situation, soit en complétant la formation initiale allouée (en octroyant par exemple des cours approfondis de langue, comme l'a préconisé l'institution auprès de laquelle elle a suivi sa formation [cf. supra consid. 3.4]), soit en procédant à un nouvel examen du droit à des mesures d'ordre professionnel (comme le suggère la juridiction cantonale dans le jugement entrepris [cf. supra consid. 3.5]). Compte tenu des obligations qui lui incombent, l'office recourant n'était pas en droit de mettre un terme aux prestations, sans examiner au préalable si le but de réadaptation avait été effectivement atteint. En tout état de cause, il ne pouvait se contenter d'affirmer, en des termes plus que généraux, que les mesures allouées étaient suffisantes pour que l'intimée puisse se repositionner sur le marché de l'emploi.</w:t>
      </w:r>
    </w:p>
    <w:p>
      <w:r>
        <w:rPr>
          <w:b/>
        </w:rPr>
        <w:t>E. 4.3</w:t>
      </w:r>
    </w:p>
    <w:p>
      <w:r>
        <w:t>Dans ce contexte, l'attestation de renonciation signée par l'intimée n'emporte aucun effet formateur de droit ou d'obligation à son égard.</w:t>
      </w:r>
    </w:p>
    <w:p>
      <w:r>
        <w:rPr>
          <w:b/>
        </w:rPr>
        <w:t>E. 4.3.1</w:t>
      </w:r>
    </w:p>
    <w:p>
      <w:r>
        <w:t>D'après l' art. 23 LPGA , l'ayant droit peut renoncer à des prestations qui lui sont dues; la renonciation peut être en tout temps révoquée pour l'avenir; la renonciation et la révocation font l'objet d'une décision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3).</w:t>
      </w:r>
    </w:p>
    <w:p>
      <w:r>
        <w:rPr>
          <w:b/>
        </w:rPr>
        <w:t>E. 4.3.2</w:t>
      </w:r>
    </w:p>
    <w:p>
      <w:r>
        <w:t>Selon la jurisprudence se rapportant à ce concept juridique, il ne peut être renoncé à des prestations qu'exceptionnellement, à condition que le bénéficiaire des prestations y ait un intérêt digne de protection et que la renonciation ne lèse pas les intérêts d'autres personnes impliquées ( ATF 129 V 1 consid. 4.3 p. 8). Malgré le texte potentiellement trompeur de l' art. 23 LPGA , ces considérations ont conservé leur pertinence après l'entrée en vigueur de la LPGA (arrêt H 234/04 du 27 avril 2005 consid. 6.2.2, in SVR 2006 AHV n° 2 p. 3; voir également UELI KIESER, ATSG-Kommentar, 2e éd., 2009, n° 16 ss ad art. 23 LPGA ).</w:t>
      </w:r>
    </w:p>
    <w:p>
      <w:r>
        <w:rPr>
          <w:b/>
        </w:rPr>
        <w:t>E. 4.3.3</w:t>
      </w:r>
    </w:p>
    <w:p>
      <w:r>
        <w:t>La personne assurée qui bénéficie de mesures d'ordre professionnel n'a pas d'intérêt digne de protection à la renonciation d'une mesure en cours, aussi longtemps que celle-ci n'a pas atteint le but de réadaptation visé et ne lui procure pas une capacité de gain équivalente à celle que lui offrait son ancienne activité. Une renonciation prononcée en de pareilles circonstances ne saurait lier la personne assurée et doit par conséquent être frappée de nullité, indépendamment des raisons invoquées par l'administration pour justifier la signature d'une telle renonciation.</w:t>
      </w:r>
    </w:p>
    <w:p>
      <w:r>
        <w:rPr>
          <w:b/>
        </w:rPr>
        <w:t>E. 5</w:t>
      </w:r>
    </w:p>
    <w:p>
      <w:r>
        <w:t>Mal fondé, le recours doit être rejeté. L'office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