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9C_575/2019 vom 19. September 2019</w:t>
      </w:r>
    </w:p>
    <w:p>
      <w:r>
        <w:t>Bundesgericht, 2019-09-19, DE</w:t>
      </w:r>
    </w:p>
    <w:p>
      <w:r>
        <w:rPr>
          <w:b/>
        </w:rPr>
        <w:t xml:space="preserve">Quelle: </w:t>
      </w:r>
      <w:r>
        <w:t>https://mcp.opencaselaw.ch/entscheid/bger_9C_575_2019</w:t>
      </w:r>
    </w:p>
    <w:p>
      <w:r>
        <w:t>FR: TF 9C_575/2019 du 19 septembre 2019</w:t>
      </w:r>
    </w:p>
    <w:p>
      <w:r>
        <w:t>IT: TF 9C_575/2019 del 19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9C_575/2019</w:t>
      </w:r>
    </w:p>
    <w:p>
      <w:r>
        <w:t>Urteil vom 19. September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Fleischanderl.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Sozialversicherungsgerichts des Kantons Zürich</w:t>
      </w:r>
    </w:p>
    <w:p>
      <w:r>
        <w:t>vom 12. Juli 2019 (IV.2018.00224).</w:t>
      </w:r>
    </w:p>
    <w:p>
      <w:r>
        <w:t>Nach Einsicht</w:t>
      </w:r>
    </w:p>
    <w:p>
      <w:r>
        <w:t>in die gegen den Entscheid des Sozialversicherungsgerichts des Kantons Zürich vom 12. Juli 2019 (betreffend Anspruch auf Invalidenrente nach Neuanmeldung) gerichtete Beschwerde von A.________ vom 10. September 2019 (Poststempel) und das Gesuch um Gewährung der unentgeltlichen Prozessführung,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(Art. 95 f. BGG) verletzt,</w:t>
      </w:r>
    </w:p>
    <w:p>
      <w:r>
        <w:t>dass konkret auf die für das Ergebnis des angefochtenen Entscheids massgeblichen Erwägungen der Vorinstanz einzugehen und im Einzelnen aufzuzeigen ist, worin eine Verletzung von Bundesrecht liegt ( BGE 140 III 86 E. 2 S. 88 f.; 134 V 53 E. 3.3 S. 60), wohingegen rein appellatorische Kritik nicht genügt ( BGE 140 III 264 E. 2.3 S. 266),</w:t>
      </w:r>
    </w:p>
    <w:p>
      <w:r>
        <w:t>dass das kantonale Gericht in umfassender Wiedergabe der medizinischen Aktenlage zur Erkenntnis gelangt ist, es hätten sich seit der letzten rentenaufhebenden Verfügung der IV-Stelle des Kantons Zürich vom 5. Februar 2010 keine anspruchserheblichen Tatsachenänderungen eingestellt, weshalb weiterhin von einer 100%igen Arbeitsfähigkeit des Beschwerdeführers für sämtliche Tätigkeiten auszugehen und die entsprechend abschlägige Verfügung der IV-Stelle vom 30. Januar 2018 zu bestätigen sei,</w:t>
      </w:r>
    </w:p>
    <w:p>
      <w:r>
        <w:t>dass der Beschwerdeführer zwar die dabei vorgenommene Würdigung der Arztberichte kritisiert, ohne indessen rechtsgenüglich darzulegen, inwiefern die von der Vorinstanz gezogenen Schlussfolgerungen infolge zusätzlichen Abklärungsbedarfs nicht stichhaltig sein sollten,</w:t>
      </w:r>
    </w:p>
    <w:p>
      <w:r>
        <w:t>dass seinen Ausführungen insbesondere nichts entnommen werden kann, was darauf hindeuten würde, es seien die kantonalgerichtlichen Sachverhaltsfeststellungen - soweit überhaupt sachbezogen gerügt - unzutreffend im Sinne von Art. 97 Abs. 1 BGG (unhaltbar, willkürlich; BGE 140 V 22 E. 7.3.1 S. 39; 135 II 145 E. 8.1 S. 153) oder die darauf beruhenden Erwägungen rechtsfehlerhaft (vgl. Art. 95 BGG ),</w:t>
      </w:r>
    </w:p>
    <w:p>
      <w:r>
        <w:t>dass sich der Beschwerdeführer vielmehr im Wesentlichen darauf beschränkt, erneut die bereits vorinstanzlich gewürdigten Arztberichte zu zitieren, und es damit an einer qualifizierten Auseinandersetzung mit dem angefochtenen Entscheid fehlt,</w:t>
      </w:r>
    </w:p>
    <w:p>
      <w:r>
        <w:t>dass die Eingabe des Beschwerdeführers den beschriebenen inhaltlichen Mindestanforderungen an eine formell hinreichende Beschwerde offensichtlich nicht genügt,</w:t>
      </w:r>
    </w:p>
    <w:p>
      <w:r>
        <w:t>dass darauf deshalb im vereinfachten Verfahren nach Art. 108 Abs. 1 lit. b BGG nicht einzutreten ist,</w:t>
      </w:r>
    </w:p>
    <w:p>
      <w:r>
        <w:t>dass in Anwendung von Art. 66 Abs. 1 Satz 2 BGG auf die Erhebung von Gerichtskosten verzichtet wird, womit sich das Gesuch um Bewilligung der unentgeltlichen Prozessführung als gegenstandslos erweist,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19. September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