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574/2010 vom 8. August 2011</w:t>
      </w:r>
    </w:p>
    <w:p>
      <w:r>
        <w:t>Bundesgericht, 2011-08-08, DE</w:t>
      </w:r>
    </w:p>
    <w:p>
      <w:r>
        <w:rPr>
          <w:b/>
        </w:rPr>
        <w:t xml:space="preserve">Quelle: </w:t>
      </w:r>
      <w:r>
        <w:t>https://mcp.opencaselaw.ch/entscheid/bger_9C_574_2010</w:t>
      </w:r>
    </w:p>
    <w:p>
      <w:r>
        <w:t>FR: TF 9C 574/2010 du 8 août 2011</w:t>
      </w:r>
    </w:p>
    <w:p>
      <w:r>
        <w:t>IT: TF 9C 574/2010 del 8 agosto 2011</w:t>
      </w:r>
    </w:p>
    <w:p>
      <w:pPr>
        <w:pStyle w:val="Heading2"/>
      </w:pPr>
      <w:r>
        <w:t>Regeste</w:t>
      </w:r>
    </w:p>
    <w:p>
      <w:r>
        <w:t>Invalidenversicherung (Vorinstanzliches Verfahren)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 selbstständig eröffneten - Vor- oder Zwischenentscheid im Sinne von Art. 92 und 93 BGG ( BGE 133 V 477 E. 4.2 S. 481 f. mit Hinweisen). Ein solcher Rückweisungsentscheid bewirkt rechtsprechungsgemäss in der Regel keinen irreversiblen Nachteil im Sinne von Art. 93 Abs. 1 lit. a BGG . Wird hingegen gegen einen solchen Vor- und Zwischenentscheid Beschwerde geführt mit der Rüge, das Gericht habe nicht in verfassungsmässiger Besetzung entschieden, was hier der Fall ist, ist auf die Beschwerde einzutreten. Zum einen ergibt sich dies daraus, dass gegen selbstständig eröffnete Vor- und Zwischenentscheide über die Zuständigkeit und über Ausstandsbegehren die Beschwerde zulässig ist ( Art. 92 Abs. 1 BGG ). Anderseits sind die Ablehnungs- und Ausstandsgründe so früh wie möglich geltend zu machen, ansonsten der Anspruch auf spätere Anrufung der vermeintlich verletzten Ausstandsbestimmungen verwirkt ist ( BGE 132 II 485 E. 4.3 S. 496 mit Hinweisen; vgl. auch Art. 92 Abs. 2 BGG ). Auf die Beschwerde ist daher hinsichtlich der Rüge der mangelhaften Besetzung des Gerichts einzutreten. Nachdem bei der Eingabe der Beschwerdeführerin die Voraussetzungen für die Beschwerde in öffentlich-rechtlichen Angelegenheiten an sich erfüllt sind, ist diese als solche - und nicht als (subsidiäre) Verfassungsbeschwerde - entgegenzunehmen ( Art. 113 BGG ).</w:t>
      </w:r>
    </w:p>
    <w:p>
      <w:r>
        <w:rPr>
          <w:b/>
        </w:rPr>
        <w:t>E. 2.1</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w:t>
      </w:r>
    </w:p>
    <w:p>
      <w:r>
        <w:rPr>
          <w:b/>
        </w:rPr>
        <w:t>E. 2.3</w:t>
      </w:r>
    </w:p>
    <w:p>
      <w:r>
        <w:t>Nach der ständigen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132 I 175 E. 1.2 S. 177 ; 131 I 467 E. 3.1 S. 473 f., je mit Hinweisen).</w:t>
      </w:r>
    </w:p>
    <w:p>
      <w:r>
        <w:rPr>
          <w:b/>
        </w:rPr>
        <w:t>E. 3.1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127 I 128 E. 3c S. 130, S. 196 E. 2b S. 198, 126 I 168 E. 2b S. 170).</w:t>
      </w:r>
    </w:p>
    <w:p>
      <w:r>
        <w:rPr>
          <w:b/>
        </w:rPr>
        <w:t>E. 3.2</w:t>
      </w:r>
    </w:p>
    <w:p>
      <w:r>
        <w:t>Nach § 8a Abs. 3 lit. d der Geschäftsordnung für das Verwaltungsgericht des Kantons Luzern (GOVG; SRL Nr. 43), in Kraft seit 1. April 2010, entscheidet der Einzelrichter "Streitigkeiten, bei welchen die Voraussetzungen für eine abschliessende Beurteilung, namentlich wegen unvollständiger Abklärung des Sachverhalts, nicht gegeben sind und die ohne verbindliche Vorgabe in der Sache an die Vorinstanz zurückgewiesen werden".</w:t>
      </w:r>
    </w:p>
    <w:p>
      <w:r>
        <w:rPr>
          <w:b/>
        </w:rPr>
        <w:t>E. 3.3</w:t>
      </w:r>
    </w:p>
    <w:p>
      <w:r>
        <w:t>Die IV-Stelle macht in der Beschwerde geltend, indem der Entscheid eine klare, verbindliche Vorgabe beinhalte, nämlich die verbindliche Anweisung, ein rheumatologisches Gutachten einzuholen, verletze das kantonale Gericht seine eigene Geschäftsordnung und die ihr zustehenden verfassungsmässigen Rechte gemäss Art. 29 und Art. 30 BV , weshalb in ordentlicher Besetzung hätte entschieden werden müssen.</w:t>
      </w:r>
    </w:p>
    <w:p>
      <w:r>
        <w:rPr>
          <w:b/>
        </w:rPr>
        <w:t>E. 3.4</w:t>
      </w:r>
    </w:p>
    <w:p>
      <w:r>
        <w:t>Die Beschwerdeführerin vermag jedoch nicht darzutun, inwiefern die Auslegung der kantonalen Vorschrift zur einzelrichterlichen Zuständigkeit durch die Vorinstanz willkürlich sein soll. Wie der Botschaft zur Änderung der Geschäftsordnung vom 12. Januar 2010 zu entnehmen ist, sieht der neue Unterabsatz d die Entscheidungskompetenz der Einzelrichterinnen und -richter für Fälle vor, welche als reine Zwischenentscheide (im Sinne bundesgerichtlicher Rechtsprechung) ohne verbindliche Vorgaben an die Vorinstanz zurückgewiesen werden. Sobald materielle Vor- oder Teilfragen oder einzelne Ansprüche im Rückweisungsurteil entschieden werden, ist die Zuständigkeit des Einzelrichters oder der Einzelrichterin ausgeschlossen. Wenn die Vorinstanz gestützt darauf davon ausgeht, die Anweisung, ein rheumatologisches Gutachten einzuholen, falle nicht unter die von der Geschäftsordnung anvisierte Vorgabe, mit welcher materielle Vor- oder Teilfragen oder einzelne Ansprüche entschieden werden, so ist dies jedenfalls nicht willkürlich. Die damit als vertretbar zu betrachtende Auslegung des kantonalen Prozessrechts ist mit der genannten Garantie von Art. 30 Abs. 1 BV ebenfalls vereinbar, gibt doch diese Garantie nicht Anspruch auf Beurteilung durch ein Kollegialgericht.</w:t>
      </w:r>
    </w:p>
    <w:p>
      <w:r>
        <w:rPr>
          <w:b/>
        </w:rPr>
        <w:t>E. 4</w:t>
      </w:r>
    </w:p>
    <w:p>
      <w:r>
        <w:t>Soweit in der Beschwerde schliesslich materielle Einwände gegen den Rückweisungsentscheid erhoben werden, ist darauf nach dem Gesagten nicht einzutreten.</w:t>
      </w:r>
    </w:p>
    <w:p>
      <w:r>
        <w:rPr>
          <w:b/>
        </w:rPr>
        <w:t>E. 5</w:t>
      </w:r>
    </w:p>
    <w:p>
      <w:r>
        <w:t>Als unterliegende Partei hat die IV-Stelle die Gerichtskosten zu tragen ( Art. 66 Abs. 1 BGG ) und überdies den Beschwerdegegner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