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9C_573/2017 vom 23. Januar 2018</w:t>
      </w:r>
    </w:p>
    <w:p>
      <w:r>
        <w:t>Bundesgericht, 2018-01-23, FR</w:t>
      </w:r>
    </w:p>
    <w:p>
      <w:r>
        <w:rPr>
          <w:b/>
        </w:rPr>
        <w:t xml:space="preserve">Quelle: </w:t>
      </w:r>
      <w:r>
        <w:t>https://mcp.opencaselaw.ch/entscheid/bger_9C_573_2017</w:t>
      </w:r>
    </w:p>
    <w:p>
      <w:r>
        <w:t>FR: TF 9C_573/2017 du 23 janvier 2018</w:t>
      </w:r>
    </w:p>
    <w:p>
      <w:r>
        <w:t>IT: TF 9C_573/2017 del 23 gennaio 2018</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Le recourant n'est habilité à critiquer les constatations de fait que si les faits ont été établis de manière manifestement inexacte ou en violation du droit au sens de l' art. 95 LTF ( art. 97 al. 1 LTF ), et si la correction du vice est susceptible d'influer sur le sort de la cause (cf. ATF 134 V 53 consid. 4.3 p. 62 et les références).</w:t>
      </w:r>
    </w:p>
    <w:p>
      <w:r>
        <w:rPr>
          <w:b/>
        </w:rPr>
        <w:t>E. 2.1</w:t>
      </w:r>
    </w:p>
    <w:p>
      <w:r>
        <w:t>En instance fédérale, le litige a trait à l'étendue du droit de l'intimée à une rente de l'assurance-invalidité (demi-rente au lieu d'une rente entière). Il porte plus particulièrement sur la répartition des champs d'activité consacrés à l'exercice d'une activité lucrative et à l'accomplissement des travaux habituels dans l'application de la méthode mixte d'évaluation de l'invalidité. Est également contestée, la date du début du droit à cette prestation.</w:t>
      </w:r>
    </w:p>
    <w:p>
      <w:r>
        <w:t>Le jugement attaqué expose de manière complète les dispositions légales et les principes jurisprudentiels relatifs à la notion d'invalidité ( art. 7 et 8 al. 1 LPGA en relation avec l' art. 4 al. 1 LAI ) et à son évaluation, en particulier s'agissant de la détermination du statut de l'assuré ( art. 8 LPGA et art. 28a LAI ) et de l'évaluation de l'invalidité dans la sphère professionnelle conformément à la méthode mixte ( art. 28a al. 3 LAI en corrélation avec son alinéa 2 et l' art. 16 LPGA ), de telle sorte qu'il suffit d'y renvoyer.</w:t>
      </w:r>
    </w:p>
    <w:p>
      <w:r>
        <w:rPr>
          <w:b/>
        </w:rPr>
        <w:t>E. 2.2</w:t>
      </w:r>
    </w:p>
    <w:p>
      <w:r>
        <w:t>Compte tenu de la date de la décision administrative en cause, qui détermine l'application dans le temps des règles légales au présent litige ( ATF 130 V 447 consid. 1.2.1; 127 V 467 consid. 1), il n'y a pas lieu de tenir compte de la modification réglementaire relative à l'évaluation de l'invalidité des assurés exerçant une activité lucrative à temps partiel entrée en vigueur le 1er janvier 2018 ( art. 27bis RAI ; voir aussi arrêt 9C_553/2017 du 18 décembre 2017 consid. 6.2).</w:t>
      </w:r>
    </w:p>
    <w:p>
      <w:r>
        <w:rPr>
          <w:b/>
        </w:rPr>
        <w:t>E. 3</w:t>
      </w:r>
    </w:p>
    <w:p>
      <w:r>
        <w:t>L'instance cantonale a écarté la méthode utilisée par l'office recourant pour évaluer le taux d'occupation professionnelle que l'intimée aurait maintenu si elle était restée en bonne santé. L'office recourant avait fixé ce taux à 38 %, en divisant le chiffre d'affaires de l'assurée par le tarif horaire moyen applicable selon le barème des tapissiers genevois (soit, 45 fr. de l'heure) et en ajoutant au total ainsi obtenu un certain nombre d'heures non facturées, conformément à la méthode préconisée par l'enquêtrice dans son rapport d'enquête pour activité professionnelle d'indépendante du 30 juin 2014. Considérant que cette manière de faire ne correspondait pas à la réalité, la juridiction cantonale a retenu que le taux en question devait être déterminé en se fondant sur les déclarations de l'intimée, selon lesquelles elle avait toujours exercé son activité à raison de 35 à 38 heures par semaine au moins. Les premiers juges ont ensuite comparé ce nombre d'heures avec l'horaire hebdomadaire de 41,7 heures qui ressort des statistiques et en ont déduit que le taux d'activité professionnelle de l'intimée s'élevait à 84 % au moins. Ils ont ainsi conclu à la reconnaissance d'un statut mixte de personne active à 84 % et de ménagère à 16 %, fixé le taux d'invalidité à 89 % (100 % d'invalidité dans la sphère d'activité professionnelle et 32,4 % de taux d'empêchement dans l'accomplissement des travaux ménagers) et reconnu le droit de l'assurée à une rente entière d'invalidité à compter du 1er septembre 2013.</w:t>
      </w:r>
    </w:p>
    <w:p>
      <w:r>
        <w:rPr>
          <w:b/>
        </w:rPr>
        <w:t>E. 4</w:t>
      </w:r>
    </w:p>
    <w:p>
      <w:r>
        <w:t>Dans un premier motif, l'office recourant fait exclusivement grief à la juridiction de première instance d'avoir reconnu à l'intimée un statut d'active à 100 %.</w:t>
      </w:r>
    </w:p>
    <w:p>
      <w:r>
        <w:rPr>
          <w:b/>
        </w:rPr>
        <w:t>E. 4.1</w:t>
      </w:r>
    </w:p>
    <w:p>
      <w:r>
        <w:t>Le point de savoir à quel taux d'activité la personne assurée travaillerait sans atteinte à la santé est une question de fait, dans la mesure où il s'agit d'une appréciation concrète des circonstances et non pas de l'application de conséquences générales tirées exclusivement de l'expérience générale de la vie. Les constatations y relatives de la juridiction cantonale lient donc le Tribunal fédéral, pour autant qu'elles ne soient ni manifestement inexactes, ni ne reposent sur une violation du droit au sens de l' art. 95 LTF (consid. 1 supra; ATF 133 V 504 consid. 3.2 p. 507; cf. aussi ATF 132 V 393 consid. 3.3 p. 399). L'appréciation des preuves est arbitraire lorsqu'elle est manifestement insoutenable, en contradiction avec le dossier ou contraire au sens de la justice et de l'équité ou encore lorsque le juge ne prend pas en compte, sans raison sérieuse, un élément de preuve propre à modifier la décision, lorsqu'il se trompe manifestement sur son sens ou sa portée, ou encore lorsque, en se fondant sur les éléments recueillis, il en tire des conclusions insoutenables ( ATF 134 V 53 consid. 4.3 p. 62; 129 I 8 consid. 2.1 p. 9).</w:t>
      </w:r>
    </w:p>
    <w:p>
      <w:r>
        <w:rPr>
          <w:b/>
        </w:rPr>
        <w:t>E. 4.2</w:t>
      </w:r>
    </w:p>
    <w:p>
      <w:r>
        <w:t>A la lecture du jugement cantonal, il apparaît que les premiers juges n'ont pas reconnu à l'intimée un statut d'active à 100 % - ce qui aurait du reste conduit à l'application de la méthode de la comparaison des revenus ( art. 16 LPGA ) -, mais bien un statut mixte de personne active à 84 % et de ménagère à 16 %. Le grief tiré d'un statut d'active à 100 % est dès lors mal fondé.</w:t>
      </w:r>
    </w:p>
    <w:p>
      <w:r>
        <w:t>En particulier, en tant que l'office recourant expose que "36 heures environ par semaine ne représentent pas un 100 % d'activité", il rejoint le nombre d'heures retenues par la juridiction cantonale (35 à 38 heures par semaine). Lorsqu'il reproche ensuite aux premiers juges d'avoir confondu le chiffre d'affaire et le revenu réalisé en 2008 par l'assurée, il n'établit pas, au moyen d'une argumentation précise et suffisamment claire en quoi cette prétendue confusion aurait pour effet de faire apparaître le taux d'occupation de 84 % déterminé par ceux-ci comme manifestement inexact (supra consid. 1). En conséquence, il n'y a pas lieu de s'écarter de la répartition des champs d'activité déterminée par la juridiction cantonale ni du degré d'invalidité auquel elle est parvenue.</w:t>
      </w:r>
    </w:p>
    <w:p>
      <w:r>
        <w:rPr>
          <w:b/>
        </w:rPr>
        <w:t>E. 5</w:t>
      </w:r>
    </w:p>
    <w:p>
      <w:r>
        <w:t>L'office recourant reproche ensuite aux premiers juges d'avoir pris le 27 mars 2013 comme date de référence pour arrêter le moment du début du droit à la rente d'invalidité de l'intimée au 1er septembre 2013, soit six mois plus tard ( art. 29 al. 1 LAI ). Selon lui, la date à laquelle un assuré fait valoir son droit aux prestations au sens de la disposition légale précitée doit correspondre à la date de réception de la demande par l'administration (en l'espèce, le 2 avril 2013) et non à la date à laquelle la personne assurée y a apposé sa signature (en l'occurrence, le 27 mars 2013); par conséquent, le droit de l'intimée à une rente d'invalidité ne pouvait pas être reconnu avant le 1er octobre 2013 au plus tôt.</w:t>
      </w:r>
    </w:p>
    <w:p>
      <w:r>
        <w:t>L'office recourant ne peut pas être suivi. Conformément à la jurisprudence relative à l' art. 29 al. 3 LPGA , en effet, la date déterminante quant à l'observation des délais et aux effets juridiques d'une demande est celle à laquelle la requête a été remise à la poste ou déposée auprès de cet organe (arrêt C 272/03 du 9 juillet 2004 consid. 2.3; voir aussi KIESER, ATSG-Kommentar, 3e éd. 2015, n° 36 p. 461 ad art. 29 LPGA ). En l'espèce, l'intimée a envoyé sa demande de prestation par courrier recommandé le 28 mars 2013. C'est dès lors à bon droit que la Cour cantonale a considéré que le droit à la rente entière d'invalidité avait pris naissance le 1er septembre 2013 ( art. 29 al. 3 LAI ).</w:t>
      </w:r>
    </w:p>
    <w:p>
      <w:r>
        <w:rPr>
          <w:b/>
        </w:rPr>
        <w:t>E. 6</w:t>
      </w:r>
    </w:p>
    <w:p>
      <w:r>
        <w:t>Compte tenu de l'issue du litige, l'office recourant, qui succombe, doit supporter les frais judiciaires ( art. 66 al. 1 LTF ), ainsi que les dépens que peut prétendre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