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573/2009 vom 16. Dezember 2009</w:t>
      </w:r>
    </w:p>
    <w:p>
      <w:r>
        <w:t>Bundesgericht, 2009-12-16, FR</w:t>
      </w:r>
    </w:p>
    <w:p>
      <w:r>
        <w:rPr>
          <w:b/>
        </w:rPr>
        <w:t xml:space="preserve">Quelle: </w:t>
      </w:r>
      <w:r>
        <w:t>https://mcp.opencaselaw.ch/entscheid/bger_9C_573_2009</w:t>
      </w:r>
    </w:p>
    <w:p>
      <w:r>
        <w:t>FR: TF 9C 573/2009 du 16 décembre 2009</w:t>
      </w:r>
    </w:p>
    <w:p>
      <w:r>
        <w:t>IT: TF 9C 573/2009 del 16 dicembre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cantonal a constaté que l'expertise établie par le docteur F.________, complétée de l'évaluation neurologique du docteur H.________, remplissait pleinement les exigences posées par la jurisprudence en matière de valeur probante des actes médicaux. Il y était exposé de manière convaincante pour quels motifs il y avait lieu de se distancer des conclusions du Centre Z.________ concernant l'incapacité de travail de l'expertisé. Le docteur F.________ expliquait notamment à l'aune du statut clinique, et indépendamment des critères posés en matière de trouble somatoforme douloureux, les raisons pour lesquelles il se disait convaincu qu'il n'y avait pas lieu de retenir dans le cas d'espèce une incapacité de travail significative sur le plan psychiatrique. Toujours selon le Tribunal, les conclusions de l'expert F.________ n'étaient mises en doute par aucun avis contraire d'une valeur probante prépondérante. L'expertise du Centre Z.________ ne pouvait être tenue pour suffisamment probante, parce qu'elle ne comportait d'une part pas d'avis neurologique alors que la problématique avait principalement trait à des symptômes de cet ordre et parce qu'elle posait d'autre part des conclusions en terme d'exigibilité qui contredisaient d'autres éléments exprimés dans le rapport. En l'absence d'une atteinte somatique notable objectivée et de trouble psychiatrique incapacitant, l'incapacité de travail admise par le Centre Z.________ n'était pas compréhensible. Les autres avis médicaux versés au dossier ne permettaient pas davantage d'écarter l'expertise du docteur F.________. Au contraire, l'absence d'atteinte somatique notable objectivable était corroborée par les avis de la totalité des spécialistes consultés, dont notamment les docteurs P.________ et N.________.</w:t>
      </w:r>
    </w:p>
    <w:p>
      <w:r>
        <w:rPr>
          <w:b/>
        </w:rPr>
        <w:t>E. 2.2</w:t>
      </w:r>
    </w:p>
    <w:p>
      <w:r>
        <w:t>Le recourant reproche au Tribunal cantonal d'avoir procédé à une constatation manifestement inexacte des faits pertinents consécutive à une mauvaise appréciation des preuves. Il fait plus particulièrement grief aux premiers juges de s'être fondés sur l'expertise du docteur F.________ et d'avoir rejeté les arguments contenus dans l'expertise du Centre Z.________. Etant donné les symptômes décrits, ce médecin n'aurait pas réellement examiné les répercussions du trouble de conversion sur sa capacité de travail et aurait nié de manière choquante que cette affection ne puisse pas exercer d'influence sur sa capacité de travail. Pour le reste, dans l'hypothèse peu probable où les critères jurisprudentiels applicables aux troubles somatoformes douloureux, à la fibromyalgie et au syndrome de fatigue et de neurasthénie devaient s'appliquer, le recourant considère que ces critères n'auraient pas été appliqués correctement par le docteur F.________.</w:t>
      </w:r>
    </w:p>
    <w:p>
      <w:r>
        <w:rPr>
          <w:b/>
        </w:rPr>
        <w:t>E. 2.3</w:t>
      </w:r>
    </w:p>
    <w:p>
      <w:r>
        <w:t>En l'espèce, le recourant n'explique pas véritablement en quoi l'appréciation des preuves à laquelle la juridiction cantonale a procédé serait manifestement insoutenable. Force est au contraire de constater que les premiers juges se sont appliqués à comparer méthodiquement les documents médicaux versés au dossier et à expliquer de façon circonstanciée les raisons qui leur ont fait privilégier le point de vue du docteur F.________ plutôt que celui du Centre Z.________. Au regard des carences évoquées dans le jugement entrepris, on ne saurait d'ailleurs leur reprocher d'avoir fait preuve d'arbitraire en écartant cette seconde expertise. A l'appui de son recours, le recourant se limite à critiquer l'expertise du docteur F.________, sans chercher à démontrer qu'un autre point de vue médical serait objectivement mieux fondé ou, du moins, justifierait la mise en oeuvre de mesures d'instruction complémentaires.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A cet égard, on ne voit pas que l'évaluation du docteur F.________ serait incomplète, ce médecin ayant clairement indiqué que, malgré la symptomatologie constatée, toute limitation d'ordre neurologique ou psychiatrique de la capacité de travail pouvait être écartée. En l'absence de critiques objectivées, il n'y a pas lieu de débattre plus avant du bien-fondé de l'évaluation de la capacité de travail opérée par le docteur F.________, dès lors qu'il n'appartient pas au juge de se livrer à des conjectures qui relèvent exclusivement de la science médicale. Quant au point de savoir si le docteur F.________ a excédé ses compétences en appliquant dans le cas d'espèce les critères dégagés par la jurisprudence dans les cas d'une symptomatique douloureuse sans substrat organique objectivable, on peut laisser - à l'image de la juridiction cantonale - cette question indécise, dès lors que l'impression clinique de ce médecin lui permettait déjà de conclure à l'existence d'une pleine capacité de travail.</w:t>
      </w:r>
    </w:p>
    <w:p>
      <w:r>
        <w:rPr>
          <w:b/>
        </w:rPr>
        <w:t>E. 3</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