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9C_572/2010 vom 25. März 2011</w:t>
      </w:r>
    </w:p>
    <w:p>
      <w:r>
        <w:t>Bundesgericht, 2011-03-25, FR</w:t>
      </w:r>
    </w:p>
    <w:p>
      <w:r>
        <w:rPr>
          <w:b/>
        </w:rPr>
        <w:t xml:space="preserve">Quelle: </w:t>
      </w:r>
      <w:r>
        <w:t>https://mcp.opencaselaw.ch/entscheid/bger_9C_572_2010</w:t>
      </w:r>
    </w:p>
    <w:p>
      <w:r>
        <w:t>FR: TF 9C_572/2010 du 25 mars 2011</w:t>
      </w:r>
    </w:p>
    <w:p>
      <w:r>
        <w:t>IT: TF 9C_572/2010 del 25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grief de nature formelle qu'il convient d'examiner en premier lieu, la recourante conteste la compétence ratione loci de l'Office cantonal genevois de l'assurance-invalidité pour traiter de son dossier, au motif que depuis l'été 2008, elle n'était plus domiciliée dans le canton de Genève, mais dans le canton de Vaud.</w:t>
      </w:r>
    </w:p>
    <w:p>
      <w:r>
        <w:rPr>
          <w:b/>
        </w:rPr>
        <w:t>E. 2.1</w:t>
      </w:r>
    </w:p>
    <w:p>
      <w:r>
        <w:t>D'après l' art. 55 al. 1 LAI , est compétent, en règle générale, l'office AI du canton dans lequel l'assuré est domicilié au moment où il exerce son droit aux prestations. Le Conseil fédéral règle la compétence dans des cas spéciaux. En vertu de l' art. 40 RAI , est notamment compétent pour enregistrer et examiner les demandes l'office AI dans le secteur d'activité duquel les assurés sont domiciliés (al. 1 let. a). L'office AI compétent lors de l'enregistrement de la demande le demeure durant toute la procédure (al. 3).</w:t>
      </w:r>
    </w:p>
    <w:p>
      <w:r>
        <w:rPr>
          <w:b/>
        </w:rPr>
        <w:t>E. 2.2</w:t>
      </w:r>
    </w:p>
    <w:p>
      <w:r>
        <w:t>Selon la pratique administrative, la procédure commence par l'enregistrement de la demande par l'office AI et se termine lorsque la décision entre en force. En général, aucun changement d'office AI ne se produit en cours de procédure ( art. 40 al. 3 RAI ). Après l'achèvement de la procédure, le dossier, y compris les pièces relatives aux prestations déjà payées, est transmis au nouvel office AI compétent. L'office AI qui était compétent jusque-là mentionne dans la lettre d'accompagnement la date à laquelle la prochaine révision est prévue (ch. 4010 ss de la Circulaire sur la procédure dans l'assurance-invalidité [CPAI]).</w:t>
      </w:r>
    </w:p>
    <w:p>
      <w:r>
        <w:rPr>
          <w:b/>
        </w:rPr>
        <w:t>E. 2.3</w:t>
      </w:r>
    </w:p>
    <w:p>
      <w:r>
        <w:t>La juridiction cantonale n'a pas violé le droit fédéral, en considérant que la recourante n'avait pas réussi à établir qu'elle avait déjà changé d'adresse lorsque la procédure de révision qui a donné lieu à la décision litigieuse avait débuté. Il convient en effet d'assimiler l'envoi d'un questionnaire pour la révision de la rente au début d'une nouvelle procédure au sens de l' art. 40 al. 3 LAI , de sorte que l'office compétent pour la suite de la procédure est celui où la personne assurée était domiciliée à ce moment précis. En date du 28 mars 2006, il n'est pas contesté que la recourante était domiciliée dans le canton de Genève, puisqu'elle a affirmé dans son recours en matière de droit public que son déménagement s'était déroulé durant le courant de l'été 2008. Dans ces conditions, c'est à juste titre que l'Office cantonal genevois de l'assurance-invalidité s'est estimé compétent pour traiter le dossier jusqu'au terme de la procédure administrative.</w:t>
      </w:r>
    </w:p>
    <w:p>
      <w:r>
        <w:rPr>
          <w:b/>
        </w:rPr>
        <w:t>E. 3</w:t>
      </w:r>
    </w:p>
    <w:p>
      <w:r>
        <w:t>Sur le fond, le litige porte sur la suppression, par la voie de la reconsidération, de la rente entière d'invalidité allouée à la recourante par décision du 21 mai 1996.</w:t>
      </w:r>
    </w:p>
    <w:p>
      <w:r>
        <w:rPr>
          <w:b/>
        </w:rPr>
        <w:t>E. 3.1</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3.2</w:t>
      </w:r>
    </w:p>
    <w:p>
      <w:r>
        <w:t>La juridiction cantonale a considéré que l'office intimé avait effectivement omis de procéder à l'époque à un calcul du degré d'invalidité de la recourante. En effet, si, en principe, il n'y avait pas lieu de chiffrer les revenus avant et après invalidité avec exactitude lorsque le degré d'invalidité se confondait avec celui de l'incapacité de travail, la situation de la recourante était différente, dans la mesure où elle avait continué l'exploitation de son entreprise en dépit de son incapacité de travail. Faute d'examen des conséquences économiques de l'invalidité sur le droit à la rente, les décisions de l'office intimé rendues en 1996 et en 2000 étaient, d'un point de vue juridique, manifestement erronées, de sorte que les conditions d'une reconsidération étaient réunies. La comparaison des revenus d'exploitation effectuée par l'office intimé dans le cadre de la procédure litigieuse ne prêtant pas le flanc à la critique, il s'ensuivait que la recourante ne présentait pas un degré d'invalidité suffisant pour donner droit à une rente d'invalidité.</w:t>
      </w:r>
    </w:p>
    <w:p>
      <w:r>
        <w:rPr>
          <w:b/>
        </w:rPr>
        <w:t>E. 3.3</w:t>
      </w:r>
    </w:p>
    <w:p>
      <w:r>
        <w:t>La recourante reproche en substance à l'office AI et aux premiers juges d'avoir calculé son degré d'invalidité d'une manière qui ne serait pas conforme à la méthode extraordinaire d'évaluation de l'invalidité, seule applicable en l'espèce.</w:t>
      </w:r>
    </w:p>
    <w:p>
      <w:r>
        <w:rPr>
          <w:b/>
        </w:rPr>
        <w:t>E. 3.4</w:t>
      </w:r>
    </w:p>
    <w:p>
      <w:r>
        <w:t>Sous couvert d'appliquer la méthode extraordinaire d'évaluation de l'invalidité, les premiers juges, à l'instar de l'office AI, n'ont rien fait d'autre que de procéder à une comparaison des revenus. Or,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9C_236/2009 du 7 octobre 2009 consid. 3.3 et les références, in SVR 2010 IV n° 11 p. 35).</w:t>
      </w:r>
    </w:p>
    <w:p>
      <w:r>
        <w:rPr>
          <w:b/>
        </w:rPr>
        <w:t>E. 3.5</w:t>
      </w:r>
    </w:p>
    <w:p>
      <w:r>
        <w:t>Par ailleurs, les premiers juges ont retenu que la recourante avait poursuivi l'exploitation de son entreprise en dépit de son incapacité de travail totale. Ce constat ne repose toutefois sur aucune constatation de fait objective et semble même clairement contredite par les pièces du dossier. Il n'a pas été allégué au cours de la procédure que les renseignements médicaux versés au dossier étaient erronés ou incomplets. D'après le rapport d'expertise du 26 novembre 2004 établi par le Centre Y.________, la capacité résiduelle de travail de la recourante a toujours été nulle depuis le jour où la rente entière d'invalidité lui avait été octroyée. Les experts du Centre Y.________ ont également indiqué que la recourante n'avait pas repris son activité professionnelle préalable, même à titre partiel, et qu'elle n'avait pas envisagé de reprendre une autre activité lucrative. Dans le questionnaire pour la révision de la rente rempli par le recourante le 18 mai 2006, celle-ci a précisé qu'elle ne travaillait pas. Elle a repris cette affirmation dans ses recours cantonal et fédéral des 21 septembre 2009 et 5 juillet 2010. Pour sa part, l'office intimé n'a produit aucune analyse structurelle et économique des entreprises de la recourante, de laquelle il ressortait de manière certaine qu'elle participait - activement ou passivement - à la marche des affaires. En l'absence de capacité de travail avérée, il n'était pas possible de retenir que la recourante disposait d'une capacité de gain préservée. A cet égard, il n'y avait pas lieu de procéder à une évaluation chiffrée du degré d'invalidité, puisque celui-ci ne pouvait être, par définition, que nul. A toutes fins utiles, on rappellera qu'il convient de distinguer clairement la situation personnelle de la personne assurée, seule déterminante au regard de l'assurance-invalidité, de celle de l'entreprise dont elle est la propriétaire économique (arrêt 9C_236/2009 précité consid. 3.4).</w:t>
      </w:r>
    </w:p>
    <w:p>
      <w:r>
        <w:rPr>
          <w:b/>
        </w:rPr>
        <w:t>E. 4</w:t>
      </w:r>
    </w:p>
    <w:p>
      <w:r>
        <w:t>Le recours se révèle bien fondé. Vu l'issue du litige, les frais de justice seront supportés par l'office intimé qui succombe ( art. 66 al. 1 LTF ). Celui-ci est par ailleurs tenu de verser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