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9C_570/2021 vom 20. Dezember 2021</w:t>
      </w:r>
    </w:p>
    <w:p>
      <w:r>
        <w:t>Bundesgericht, 2021-12-20, DE</w:t>
      </w:r>
    </w:p>
    <w:p>
      <w:r>
        <w:rPr>
          <w:b/>
        </w:rPr>
        <w:t xml:space="preserve">Quelle: </w:t>
      </w:r>
      <w:r>
        <w:t>https://mcp.opencaselaw.ch/entscheid/bger_9C_570_2021</w:t>
      </w:r>
    </w:p>
    <w:p>
      <w:r>
        <w:t>FR: TF 9C_570/2021 du 20 décembre 2021</w:t>
      </w:r>
    </w:p>
    <w:p>
      <w:r>
        <w:t>IT: TF 9C_570/2021 del 20 dicembre 2021</w:t>
      </w:r>
    </w:p>
    <w:p>
      <w:pPr>
        <w:pStyle w:val="Heading2"/>
      </w:pPr>
      <w:r>
        <w:t>Erwägungen</w:t>
      </w:r>
    </w:p>
    <w:p>
      <w:r>
        <w:rPr>
          <w:b/>
        </w:rPr>
        <w:t>E. 1.1</w:t>
      </w:r>
    </w:p>
    <w:p>
      <w:r>
        <w:t>Der Antrag betreffend Verzugszins ist neu und daher von vornherein unzulässig (vgl. Art. 99 Abs. 2 BGG ).</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9C_84/2021 vom 2. August 2021 E. 2).</w:t>
      </w:r>
    </w:p>
    <w:p>
      <w:r>
        <w:rPr>
          <w:b/>
        </w:rPr>
        <w:t>E. 2.1.1</w:t>
      </w:r>
    </w:p>
    <w:p>
      <w:r>
        <w:t>Nach den zutreffenden Erwägungen im angefochtenen Urteil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Dieser Grundsatz findet auch in der weitergehenden Vorsorge Anwendung, wenn - wie hier (vgl. § 19 ff. der BVK-Statuten vom 22. Mai 1996 [in der seit 1. Januar 2005 geltenden Fassung]) - Reglement oder Statuten resp. gesetzliche Grundlagen nichts anderes vorsehen ( BGE 136 V 65 E. 3.2).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Urteile 9C_181/2021 vom 10. Juni 2021 E. 2.1.1; 9C_347/2019 vom 22. August 2019 E. 2.2.1).</w:t>
      </w:r>
    </w:p>
    <w:p>
      <w:r>
        <w:rPr>
          <w:b/>
        </w:rPr>
        <w:t>E. 2.1.2</w:t>
      </w:r>
    </w:p>
    <w:p>
      <w:r>
        <w:t>Ebenfalls korrekt führt die Vorinstanz aus, dass der Anspruch auf Invalidenleistungen aus beruflicher Vorsorge einen engen sachlichen und zeitlichen Zusammenhang zwischen der während andauerndem Vorsorgeverhältnis (einschliesslich Nachdeckungsfrist nach Art. 10 Abs. 3 BVG ) bestehenden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dann anzunehmen, wenn während mehr als dreier Monate eine Arbeitsfähigkeit von über 80 % in einer angepassten Erwerbstätigkeit gegeben ist ( BGE 144 V 58 E. 4.5; Urteile 9C_181/2021 vom 10. Juni 2021 E. 2.1.2; 9C_100/2018 vom 21. Juni 2018 E. 2.2).</w:t>
      </w:r>
    </w:p>
    <w:p>
      <w:r>
        <w:rPr>
          <w:b/>
        </w:rPr>
        <w:t>E. 2.2</w:t>
      </w:r>
    </w:p>
    <w:p>
      <w:r>
        <w:t>Vorinstanzliche Feststellungen zur Art des Gesundheitsschadens (Befund, Diagnose etc.) und zur Arbeitsfähigkeit, die Ergebnis einer Beweiswürdigung sind, sind für das Bundesgericht grundsätzlich bindend (vgl. vorangehende E. 1.2).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(Urteile 9C_181/2021 vom 10. Juni 2021 E. 2.2; 9C_100/2018 vom 21. Juni 2018 E. 2.3; je mit Hinweisen).</w:t>
      </w:r>
    </w:p>
    <w:p>
      <w:r>
        <w:rPr>
          <w:b/>
        </w:rPr>
        <w:t>E. 3</w:t>
      </w:r>
    </w:p>
    <w:p>
      <w:r>
        <w:t>Die IV-Stelle Schwyz setzte bei der Rentenzusprache den Beginn der Wartezeit nach Art. 28 Abs. 1 lit. b IVG auf den 30. April 2011 fest. Das kantonale Gericht hat eine diesbezügliche Bindung (vgl. dazu Urteil 9C_23/2019 vom 10. Mai 2019 E. 2.2 mit Hinweisen) offengelassen und die Leistungspflicht der BVK frei geprüft.</w:t>
      </w:r>
    </w:p>
    <w:p>
      <w:r>
        <w:t>Es hat festgestellt, während der Versicherungszeit bei der BVK sei eine Arbeitsunfähigkeit von mindestens 20 % eingetreten. Die Beschwerdeführerin habe aber vom 27. September bis zum 14. Dezember 2010 bei einer Vermittlungsfähigkeit von 100 % Anspruch auf Arbeitslosenentschädigung gehabt. Ab dem 15. Dezember 2010 habe sie in einem Vollzeitpensum als Pflegefachfrau gearbeitet und dabei auch die dreimonatige Probezeit bestanden. Sie habe sich im September 2010 lediglich vorsorglich für den Fall, dass sie einen Rückfall erleiden sollte, bei der Invalidenversicherung angemeldet. Für die Zeit vom 27. September 2010 (Beginn des Anspruchs auf Arbeitslosenentschädigung) bis Ende April 2011 (Aufnahme einer stationären Behandlung) sei weder eine echtzeitliche Arbeitsunfähigkeitsbescheinigung noch eine ärztliche Behandlung aktenkundig. Vom 27. September 2010 bis mindestens zum 15. März 2011 (bestandene Probezeit) habe somit eine uneingeschränkte resp. über 80 %ige Arbeitsfähigkeit bestanden. Daraus hat die Vorinstanz auf eine Unterbrechung des zeitlichen Zusammenhangs zwischen der während des Versicherungsverhältnisses mit der BVK eingetretenen Arbeitsunfähigkeit und der späteren Invalidität geschlossen. Folglich hat sie, ohne den sachlichen Konnex zu prüfen, die Leistungspflicht der BVK verneint.</w:t>
      </w:r>
    </w:p>
    <w:p>
      <w:r>
        <w:rPr>
          <w:b/>
        </w:rPr>
        <w:t>E. 4.1</w:t>
      </w:r>
    </w:p>
    <w:p>
      <w:r>
        <w:t>Die von der Beschwerdeführerin erhobene Rüge, das kantonale Gericht habe den Anspruch auf rechtliches Gehör ( Art. 29 Abs. 2 BV ) verletzt, weil es sich im kantonalen Verfahren mit ihren Vorbringen nicht oder nur ungenügend auseinandergesetzt habe, ist unbegründet. Es fehlen Anhaltspunkte und wird nicht geltend gemacht, dass eine sachgerechte Anfechtung des kantonalen Urteils nicht möglich gewesen sein soll (vgl. BGE 142 III 433 E. 4.3.2 mit Hinweisen).</w:t>
      </w:r>
    </w:p>
    <w:p>
      <w:r>
        <w:rPr>
          <w:b/>
        </w:rPr>
        <w:t>E. 4.2</w:t>
      </w:r>
    </w:p>
    <w:p>
      <w:r>
        <w:t>Die Beschwerdeführerin macht in materieller Hinsicht im Wesentlichen geltend, sie habe ihre Arbeitsfähigkeit am 27. September 2010 nicht wiedererlangt. Zumindest aber sei eine dauerhafte Wiedererlangung nicht objektiv wahrscheinlich gewesen. Die übrigen in der vorangehenden E. 3 wiedergegebenen vorinstanzlichen Feststellungen stellt sie nicht in Abrede. Sie bleiben denn auch für das Bundesgericht verbindlich (vgl. vorangehende E. 1.2).</w:t>
      </w:r>
    </w:p>
    <w:p>
      <w:r>
        <w:rPr>
          <w:b/>
        </w:rPr>
        <w:t>E. 4.3</w:t>
      </w:r>
    </w:p>
    <w:p>
      <w:r>
        <w:t>Bei der Prüfung der Frage nach dem zeitlichen Zusammenhang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auch wenn solchen Zeiten nicht die gleiche Bedeutung beigemessen werden kann wie Zeiten effektiver Erwerbstätigkeit. Bestand während mindestens drei Monaten wieder eine (nahezu)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aber unwahrscheinlich war ( BGE 134 V 20 E. 3.2.1).</w:t>
      </w:r>
    </w:p>
    <w:p>
      <w:r>
        <w:t>Bei Schubkrankheiten ist zu prüfen, ob eine länger als drei Monate dauernde, isoliert betrachtet unauffällige Phase von Erwerbstätigkeit tatsächlich mit der Perspektive einer dauerhaften Berufsausübung verbunden war. Selbst eine länger 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(Urteil 9C_111/2021 vom 11. August 2021 E. 2.3.1 mit Hinweisen). Bei Schubkrankheiten ist daher für die Beurteilung der zeitlichen Konnexität zwischen Arbeitsunfähigkeit und Invalidität kein allzu strenger Massstab anzuwenden (Urteil 9C_465/2018 vom 30. Januar 2019 E. 3.2).</w:t>
      </w:r>
    </w:p>
    <w:p>
      <w:r>
        <w:rPr>
          <w:b/>
        </w:rPr>
        <w:t>E. 4.4</w:t>
      </w:r>
    </w:p>
    <w:p>
      <w:r>
        <w:t>Die Vorinstanz hat sich einlässlich mit der Aktenlage auseinandergesetzt und nachvollziehbar dargelegt, dass in den echtzeitlichen medizinischen Unterlagen jeweils eine gute Prognose gestellt worden war. Sie hat einleuchtend begründet, weshalb sie dem Bericht des Dr. med. D.________ (Facharzt für Psychiatrie und Psychotherapie) und des Dr. phil. E.________ (Psychologe und Psychotherapeut) vom 9. Dezember 2010, in dem diese eine uneingeschränkte Arbeits fähigkeit ab dem 27. September 2010 attestiert hatten, mehr Überzeugungskraft beigemessen hat als der retrospektiven Einschätzung des Dr. phil. E.________ vom 14. A ugust 2019. Sodann hatte Dr. med. F.________ (ebenfalls Facharzt für Psychiatrie und Psychotherapie) zwar in seinem Gutachten vom 24. März 2010 die Möglichkeit einer späteren psychiatrisch begründeten Arbeitsunfähigkeit in Betracht gezogen; dass zwingend mit einer solchen gerechnet werden musste, lässt sich seiner Expertise aber nicht entnehmen. Auch wenn die Be schwerdeführerin insbesondere an einer bipolaren Störung bzw. schweren Persönlichkeitsstörung und an einer rezidivierenden depressiven Störung leidet, so scheint die Arbeitsfähigkeit dadurch bis im März 2009 nicht beeinträchtigt gewesen zu sein; Anhaltspunkte für frühere Einschränkungen wurden resp. werden jedenfalls nicht geltend gemacht. Weshalb bei dieser Ausgangslage die (zumindest nahezu) vollständige Wiedererlangung der Arbeitsfähigkeit nach der im März 2009 eingetretenen ersten Krise von vornherein objektiv unwahrscheinlich gewesen sein soll, erhellt nicht. Ob es sich beim Leiden der Beschwerdeführerin um eine Schubkrankheit im Sinne der in E. 4.3 wiedergegebenen Rechtsprechung handelt, kann daher offenbleiben. Soweit ein krankheitsbedingter "ungebremster und übersteigerter Leistungswille" geltend gemacht wird, ist dies nicht mit einer Arbeitsunfähigkeit gleichzusetzen. Dass sich im am 15. Dezember 2010 angetretenen Arbeitsverhältnis mit dem Spital C.________ vor Ende April 2011 eine eingeschränkte Leistungsfähigkeit manifestiert haben soll, wird denn auch nicht ansatzweise dargelegt. Ohnehin beschränkt sich die Beschwerdeführerin auf weiten Strecken darauf, die Beweise abweichend von der Vorinstanz zu würdigen und daraus andere Schlüsse zu ziehen, was nicht genügt.</w:t>
      </w:r>
    </w:p>
    <w:p>
      <w:r>
        <w:rPr>
          <w:b/>
        </w:rPr>
        <w:t>E. 4.5</w:t>
      </w:r>
    </w:p>
    <w:p>
      <w:r>
        <w:t>Nach dem Gesagten sind die vorinstanzliche Beweiswürdigung und die Feststellung betreffend die Arbeitsfähigkeit nicht offensichtlich unrichtig. Sie beruhen auch nicht auf einer Rechtsverletzung und bleiben daher für das Bundesgericht verbindlich (vgl. vorangehende E. 1.2). Das kantonale Gericht hat demnach auch kein Recht verletzt, indem es auf die Unterbrechung des zeitlichen Zusammenhangs geschlossen und die Leistungspflicht der BVK verneint hat.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