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9C_570/2010 vom 8. September 2010</w:t>
      </w:r>
    </w:p>
    <w:p>
      <w:r>
        <w:t>Bundesgericht, 2010-09-08, DE</w:t>
      </w:r>
    </w:p>
    <w:p>
      <w:r>
        <w:rPr>
          <w:b/>
        </w:rPr>
        <w:t xml:space="preserve">Quelle: </w:t>
      </w:r>
      <w:r>
        <w:t>https://mcp.opencaselaw.ch/entscheid/bger_9C_570_2010</w:t>
      </w:r>
    </w:p>
    <w:p>
      <w:r>
        <w:t>FR: TF 9C_570/2010 du 8 septembre 2010</w:t>
      </w:r>
    </w:p>
    <w:p>
      <w:r>
        <w:t>IT: TF 9C_570/2010 del 8 settembre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Unter den Verfahrensbeteiligten ist letztinstanzlich zu Recht nicht mehr streitig, dass sich der Gesundheitszustand der nach wie vor an einer Zwangsstörung und einer rezidivierenden depressiven Störung leidenden Beschwerdeführerin zwischenzeitlich insofern gebessert hat, als eine Angewöhnung "an das Auf und Ab der Stimmungszustände und Zwangssymptome" stattgefunden hat, welche im Gegensatz zu früher eine weitgehend selbständige Haushaltführung erlaubt (Ärztlicher Zwischenbericht des Psychiaters Dr. G.________ vom 20. März 2009 und Abklärungsbericht Haushalt vom 21. Juli 2009). Unbestritten ist auch, dass der Gesamtinvaliditätsgrad der Versicherten zufolge dieses IV-spezifischen Umstandes unter rentenberechtigendes Ausmass sank ( Art. 28 Abs. 2 IVG ) und die Viertelsrente demzufolge aufzuheben war ( Art. 17 Abs. 1 ATSG [SR 830.1] in Verbindung mit Art. 1 Abs. 1 IVG ). Im Streite liegt indessen, ob die rückwirkende Rentenaufhebung und demzufolge die Rückforderung von Invalidenrenten im Betrag von Fr. 2447.- rechtens ist.</w:t>
      </w:r>
    </w:p>
    <w:p>
      <w:r>
        <w:rPr>
          <w:b/>
        </w:rPr>
        <w:t>E. 3</w:t>
      </w:r>
    </w:p>
    <w:p>
      <w:r>
        <w:t>Eine rückwirkende Aufhebung oder Berichtigung einer Invalidenrente (ex tunc) und damit verbunden die Rückerstattung unrechtmässig bezogener Rentenbetreffnisse (Art. 25 Abs. 1 erster Satz ATSG in Verbindung mit Art. 1 Abs. 1 IVG ) greifen dann Platz, wenn der Tatbestand des Art. 88bis Abs. 2 lit. b IVV (SR 831.201) erfüllt ist. Danach erfolgt die revisionsweise Herabsetzung oder Aufhebung einer Invalidenrente rückwirkend vom Eintritt der für den Anspruch erheblichen Änderung an, wenn die unrichtige Ausrichtung der Leistung darauf zurückzuführen ist, dass der Bezüger sie unrechtmässig erwirkt hat oder der ihm gemäss Art. 77 IVV zumutbaren Meldepflicht nicht nachgekommen ist. Laut dieser Verordnungsbestimmung haben u.a. der Berechtigte oder sein gesetzlicher Vertreter jede für den Leistungsanspruch wesentliche Änderung, namentlich eine solche des Gesundheitszustandes, der Arbeits- oder Erwerbsfähigkeit, der Hilflosigkeit oder des invaliditätsbedingten Betreuungsaufwandes, des für den Ansatz der Hilflosenentschädigung massgebenden Aufenthaltsortes, der persönlichen und gegebenenfalls der wirtschaftlichen Verhältnisse des Versicherten unverzüglich der IV-Stelle anzuzeigen.</w:t>
      </w:r>
    </w:p>
    <w:p>
      <w:r>
        <w:t>Für den Tatbestand der Meldepflichtverletzung ist ein schuldhaftes Fehlverhalten erforderlich, wobei nach ständiger Rechtsprechung bereits eine leichte Fahrlässigkeit genügt ( BGE 119 V 431 E. 2 S. 432; 112 V 97 E. 2a S. 100; 110 V 176 E. 3c S. 180; 105 V 163 E. 6a S. 170; Urteil 8C_1042/2009 vom 12. April 2010 E. 2.2; Ulrich Meyer, Bundesgesetz über die Invalidenversicherung [IVG], 2. Auflage 2010, S. 406). Die Frage nach der im Einzelfall gebotenen Aufmerksamkeit ist frei überprüfbare Rechtsfrage, soweit es darum geht festzustellen, ob ein Rentenbezüger angesichts der jeweiligen tatsächlichen Verhältnisse seine Pflicht zur Meldung einer für den Leistungsanspruch wesentlichen Änderung hätte erkennen können (vgl. Urteil des Eidgenössischen Versicherungsgerichts C 136/98 vom 24. März 1999 E. 2b in fine).</w:t>
      </w:r>
    </w:p>
    <w:p>
      <w:r>
        <w:rPr>
          <w:b/>
        </w:rPr>
        <w:t>E. 4</w:t>
      </w:r>
    </w:p>
    <w:p>
      <w:r>
        <w:t>Das kantonale Gericht bejahte zum einen eine Meldepflichtverletzung, weil die Beschwerdeführerin es unterlassen hatte, den IV-Organen mitzuteilen, dass die regelmässige ambulante Psychotherapie bei Dr. G.________ ab Januar 2008 sistiert worden war. Ob dieser Umstand tatsächlich der Meldepflicht unterlag, muss bezweifelt werden, stellte er doch an sich keine für den Leistungsanspruch wesentliche Änderung dar. Den Angaben des Dr. G.________ zufolge zeigten die bekannten psychischen Symptome der depressiven Störung wie auch der Zwangsstörung (Zwangsgedanken und Waschzwänge) nach wie vor eine wechselnd starke Ausprägung. Die Arbeitsunfähigkeit im erwerblichen Teilbereich lag denn auch unbestrittenermassen weiterhin bei 60 %. Die Frage nach einer Verletzung der Meldepflicht mag indessen mit Bezug auf die Einstellung der Psychotherapie offenbleiben. Entscheidend ist nämlich, dass die weitere vorinstanzliche Vorhaltung an die Adresse der Beschwerdeführerin greift: Die Versicherte wies bei sämtlichen im Abklärungsbericht vom 21. Juli 2009 angeführten Aufgaben einer haushaltführenden Person im Vergleich zum entsprechenden früheren Bericht eine (zum Teil massiv) geringere Leistungseinschränkung auf. Diese Tatsache der praktisch vollständigen Wiedererlangung der Selbständigkeit im Teilbereich der Haushaltführung hätte der IV-Stelle zweifellos angezeigt werden müssen, und zwar spätestens Mitte 2008, als die Beschwerdeführerin nunmehr wieder in der Lage war, neben dem rund 40%igen ausserhäuslichen Arbeitspensum und ihrem Haushalt auch noch die Wäsche ihrer sehbehinderten Schwiegermutter zu besorgen. Die Verletzung der ihr obliegenden Meldepflicht führt zur rückwirkenden Rentenaufhebung ab 1. Juli 2008 ( Art. 88bis Abs. 2 lit. b IVV ) und zur Rückerstattungspflicht hinsichtlich der ab diesem Zeitpunkt zu Unrecht bezogenen Rentenbetreffnisse im vorinstanzlich ermittelten Umfang.</w:t>
      </w:r>
    </w:p>
    <w:p>
      <w:r>
        <w:t>Da in Anbetracht der Verhältnisse, namentlich der Art der gesundheitlichen Beeinträchtigung, nur eine leichte Fahrlässigkeit bezüglich der Meldepflichtverletzung vorliegt, ist die Beschwerdeführerin auf die Möglichkeit eines Erlassgesuchs (Art. 25 Abs. 1 zweiter Satz ATSG; BGE 110 V 176 E. 3c S. 180) hinzuweisen.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