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9C_570/2007 vom 5. März 2008</w:t>
      </w:r>
    </w:p>
    <w:p>
      <w:r>
        <w:t>Bundesgericht, 2008-03-05, DE</w:t>
      </w:r>
    </w:p>
    <w:p>
      <w:r>
        <w:rPr>
          <w:b/>
        </w:rPr>
        <w:t xml:space="preserve">Quelle: </w:t>
      </w:r>
      <w:r>
        <w:t>https://mcp.opencaselaw.ch/entscheid/bger_9C_570_2007</w:t>
      </w:r>
    </w:p>
    <w:p>
      <w:r>
        <w:t>FR: TF 9C_570/2007 du 5 mars 2008</w:t>
      </w:r>
    </w:p>
    <w:p>
      <w:r>
        <w:t>IT: TF 9C_570/2007 del 5 marzo 2008</w:t>
      </w:r>
    </w:p>
    <w:p>
      <w:pPr>
        <w:pStyle w:val="Heading2"/>
      </w:pPr>
      <w:r>
        <w:t>Erwägungen</w:t>
      </w:r>
    </w:p>
    <w:p>
      <w:r>
        <w:rPr>
          <w:b/>
        </w:rPr>
        <w:t>E. 1.1</w:t>
      </w:r>
    </w:p>
    <w:p>
      <w:r>
        <w:t>Die Beschwerdeführerin hat den vorinstanzlichen Entscheid nur insoweit angefochten, als die Klage der Kläger 1 - 3 (A._________, B.________ und C.________), nicht aber diejenige des Klägers 4 (D.________) teilweise gutgeheissen worden ist. Mit Bezug auf die Klage des Klägers 4 ist der vorinstanzliche Entscheid unangefochten in Rechtskraft erwachsen. Die Beschwerdeführerin beantragt dennoch die uneingeschränkte Aufhebung des angefochtenen Entscheides sowie die Abweisung der Klage. Soweit dieses Beschwerdebegehren die Beurteilung und Gutheissung der Klage des Klägers 4 mitumfasst, ist darauf nicht einzutreten.</w:t>
      </w:r>
    </w:p>
    <w:p>
      <w:r>
        <w:rPr>
          <w:b/>
        </w:rPr>
        <w:t>E. 1.2</w:t>
      </w:r>
    </w:p>
    <w:p>
      <w:r>
        <w:t>Die Beschwerdeführerin hat die Klage der Kläger 1 - 3 im vorinstanzlichen Verfahren in der Höhe von Fr. 3'564.20 (Kläger 1), Fr. 10'082.-- (Kläger 2) und Fr. 10'344.70 (Kläger 3) anerkannt. Die Klageanerkennung schliesst den Verzicht auf jedes Rechtsmittel mit ein. Der beklagten Partei fehlt nach vollständiger oder teilweiser Anerkennung der Klage das Rechtsschutzinteresse an der Weiterverfolgung des streitigen Rechtsanspruches in dem von ihr anerkannten Umfang (Leuch/Marbach/Kellerhals/Sterchi, Die Zivilprozessordnung für den Kanton Bern, 5. Aufl., Bern 2000, N 3b zu Art. 207; Vogel/Spühler, Grundriss des Zivilprozessrechts, 8. Aufl., Bern 2006, Kap. 9, Rz. 70). Auf die Beschwerde ist daher nur insoweit einzutreten, als das kantonale Gericht den Beschwerdegegnern 1 - 3 höhere als die von der Beschwerdeführerin anerkannten Freizügigkeitsleistungen zugesprochen hat.</w:t>
      </w:r>
    </w:p>
    <w:p>
      <w:r>
        <w:rPr>
          <w:b/>
        </w:rPr>
        <w:t>E. 2</w:t>
      </w:r>
    </w:p>
    <w:p>
      <w:r>
        <w:t>Die Beschwerde in öffentlich-rechtlichen Angelegenheiten kann wegen Rechtsverletzungen im Sinne von Art. 95 und 96 BGG erhoben werden. 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3.1</w:t>
      </w:r>
    </w:p>
    <w:p>
      <w:r>
        <w:t>Die Beschwerdeführerin rügt eine Verletzung ihres verfassungsmässigen Anspruchs auf rechtliches Gehör ( Art. 29 Abs. 2 BV ). Das kantonale Gericht habe nicht begründet, weshalb für die Beantwortung der Frage, ob im Jahre 2001 ein Arbeitsverhältnis der Beschwerdegegner mit der Einzelunternehmung von H._________ oder mit der Firma X.________ AG bestanden habe, einer handschriftlichen Notiz des Beigeladenen und den von ihm erstellten Lohnübersichten höhere Beweiskraft zukomme als den Lohnabrechnungen für das Jahr 2001 und den Auszügen aus den individuellen Konten der Beschwerdegegner.</w:t>
      </w:r>
    </w:p>
    <w:p>
      <w:r>
        <w:rPr>
          <w:b/>
        </w:rPr>
        <w:t>E. 3.2</w:t>
      </w:r>
    </w:p>
    <w:p>
      <w:r>
        <w:t>Aus dem Anspruch auf rechtliches Gehör ( Art. 29 Abs. 2 BV ) folgt unter anderem die grundsätzliche Pflicht der Behörden, ihren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 S. 445, 130 II 530 E. 4.3 S. 540, 129 I 232 E. 3.2 S. 236, 126 I 97 E. 2b S. 102 f.).</w:t>
      </w:r>
    </w:p>
    <w:p>
      <w:r>
        <w:rPr>
          <w:b/>
        </w:rPr>
        <w:t>E. 3.3</w:t>
      </w:r>
    </w:p>
    <w:p>
      <w:r>
        <w:t>Das kantonale Gericht hat zur Frage, bei welchem Arbeitgeber die Beschwerdegegner im Jahre 2001 angestellt waren, vorab den diesbezüglichen Standpunkt der Beschwerdeführerin (Arbeitgeberin ist die Firma X.________ AG) und die hiefür vorgelegten Beweismittel (Auszüge aus den individuellen Konten der AHV/IV sowie die monatlichen Lohnabrechnungen 2001) dargelegt. Daraufhin erwog es, H._________ habe jedoch gegenüber der Beschwerdeführerin vorprozessual - auf deren Anfrage vom 19. November 2002 hin - erklärt, die Firma X.________ AG habe die Arbeitnehmer seiner Einzelunternehmung erst per 1. Januar 2002 übernommen. Auch die von H._________ für das Jahr 2001 erstellten "Lohnabrechnungen für AHV/SUVA" lauteten auf die Einzelunternehmung. Schliesslich führte die Vorinstanz zur Begründung ihrer Entscheidung an, dass die Einzelunternehmung von H._________ im Jahre 2001 zur Durchführung der beruflichen Vorsorge noch der Beschwerdeführerin angeschlossen gewesen sei, während die Firma X.________ AG sich erst zum 1. Januar 2002 einer Sammelstiftung angeschlossen habe. Die Vorinstanz hat somit die für die Beantwortung der Streitfrage, wer im Jahre 2001 Arbeitgeber der Beschwerdegegner gewesen sei, wesentlichen Beweismittel gewürdigt, deren Widersprüchlichkeit aufgezeigt und dargelegt, weshalb sie auch für das Jahr 2001 auf die ein Arbeitsverhältnis mit der Einzelunternehmung von H._________ indizierenden Beweisurkunden abstellte. Von einer Verletzung der Begründungspflicht kann daher keine Rede sein.</w:t>
      </w:r>
    </w:p>
    <w:p>
      <w:r>
        <w:rPr>
          <w:b/>
        </w:rPr>
        <w:t>E. 4.1</w:t>
      </w:r>
    </w:p>
    <w:p>
      <w:r>
        <w:t>Die Beschwerdeführerin rügt sodann eine offensichtlich unrichtige Sachverhaltsfeststellung, weil die Vorinstanz nicht auf jene Urkunden abgestellt habe, welche ein Arbeitsverhältnis der Beschwerdegegner mit der Firma X.________ AG im Jahre 2001 dokumentierten.</w:t>
      </w:r>
    </w:p>
    <w:p>
      <w:r>
        <w:rPr>
          <w:b/>
        </w:rPr>
        <w:t>E. 4.2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(Botschaft des Bundesrates vom 28. Februar 2001 zur Totalrevision der Bundesrechtspflege, BBl 2001 S. 4338; Markus Schott, Basler Kommentar, N 9 f. zu Art. 97 BGG ; Seiler/von Werdt/Güngerich, Bundesgerichtsgesetz BGG, Bern 2007, N 14 zu Art. 97 BGG ). Es liegt noch keine offensichtliche Unrichtigkeit vor, nur weil eine andere Lösung ebenfalls in Betracht fällt, selbst wenn diese als die plausiblere erschiene (vgl. BGE 129 I 8 E. 2.1 S. 9).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w:t>
      </w:r>
    </w:p>
    <w:p>
      <w:r>
        <w:rPr>
          <w:b/>
        </w:rPr>
        <w:t>E. 4.3</w:t>
      </w:r>
    </w:p>
    <w:p>
      <w:r>
        <w:t>Von offensichtlicher Unrichtigkeit der vorinstanzlichen Sachverhaltsfeststellungen kann vorliegend nicht gesprochen werden, und zwar umso weniger, als H._________ der Beschwerdeführerin im Oktober 2002 die Arbeitsverhältnisse der Beschwerdegegner mit seiner Einzelunternehmung für das laufende Jahr meldete. Letztlich stellt die Beschwerdeführerin den bestrittenen Feststellungen des kantonalen Gerichts lediglich einen nach eigener Auffassung richtigen Sachverhalt gegenüber, was hinsichtlich der Begründungspflicht nicht genügt (Urteil 9C_688/2007 vom 22. Januar 2008 E. 2.3; Urteil 4A_28/2007 vom 30. Mai 2007 E. 1.3 [in BGE 133 III 421 nicht publiziert]).</w:t>
      </w:r>
    </w:p>
    <w:p>
      <w:r>
        <w:rPr>
          <w:b/>
        </w:rPr>
        <w:t>E. 5</w:t>
      </w:r>
    </w:p>
    <w:p>
      <w:r>
        <w:t>Schliesslich rügt die Beschwerdeführerin eine Bundesrechtsverletzung dahingehend, dass das kantonale Gericht Art. 10 Abs. 2 lit. b BVG und Art. 18 FZG verletzt habe, weil die Beschwerdegegner im Jahre 2001 zufolge Auflösung der obligatorischen Berufsvorsorgeversicherung per Ende 2000 nicht mehr bei ihr vorsorgeversichert gewesen seien. Dennoch sei sie verpflichtet worden, "Altersgutschriften für das Jahr 2001 sowie Zinsgutschriften vorzunehmen".</w:t>
      </w:r>
    </w:p>
    <w:p>
      <w:r>
        <w:t>Mit diesen Vorbringen macht die Beschwerdeführerin nicht eine unrichtige Anwendung der erwähnten berufsvorsorgerechtlichen Gesetzesbestimmungen geltend, sondern behauptet wiederum, es sei für die Rechtsanwendung von einem anderen Sachverhalt als dem von der Vorinstanz festgestellten auszugehen. Diesbezüglich kann auf die vorstehenden Erwägungen 4.2 und 4.3 verwiesen werden.</w:t>
      </w:r>
    </w:p>
    <w:p>
      <w:r>
        <w:rPr>
          <w:b/>
        </w:rPr>
        <w:t>E. 6</w:t>
      </w:r>
    </w:p>
    <w:p>
      <w:r>
        <w:t>Dem Ausgang des Verfahrens entsprechend sind die Gerichtskosten der Beschwerdeführerin aufzuerlegen ( Art. 66 Abs. 1 BGG ). Den obsiegenden und anwaltlich vertretenen Beschwerdegegnern steht 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