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9C_569/2021 vom 22. Dezember 2021</w:t>
      </w:r>
    </w:p>
    <w:p>
      <w:r>
        <w:t>Bundesgericht, 2021-12-22, DE</w:t>
      </w:r>
    </w:p>
    <w:p>
      <w:r>
        <w:rPr>
          <w:b/>
        </w:rPr>
        <w:t xml:space="preserve">Quelle: </w:t>
      </w:r>
      <w:r>
        <w:t>https://mcp.opencaselaw.ch/entscheid/bger_9C_569_2021</w:t>
      </w:r>
    </w:p>
    <w:p>
      <w:r>
        <w:t>FR: TF 9C_569/2021 du 22 décembre 2021</w:t>
      </w:r>
    </w:p>
    <w:p>
      <w:r>
        <w:t>IT: TF 9C_569/2021 del 22 dicembre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Vorinstanzliche Feststellungen zur Art des Gesundheitsschadens und zur Arbeitsfähigkeit, die Ergebnis einer Beweiswürdigung sind, sind für das Bundesgericht grundsätzlich bindend (vgl. BGE 132 V 393 E. 3.2). Tatfrage ist auch jene nach dem Zeitpunkt des Eintritts der Arbeitsunfähigkeit, deren Ursache zur Invalidität geführt hat (Urteil 9C_182/2007 vom 7. Dezember 2007 E. 4.1.1, in: SVR 2008 BVG Nr. 31 S. 126). Gleiches gilt für die aufgrund einer konkreten Beweiswürdigung getroffene Feststellung des zeitlichen Konnexes. Frei überprüfbare Rechtsfrage ist dagegen, nach welchen Gesichtspunkten die Entscheidung über den Zeitpunkt des Eintritts einer massgebenden Arbeitsunfähigkeit zu erfolgen hat, und hinsichtlich des zeitlichen Zusammenhangs, ob die Beweiswürdigung unter Beachtung der rechtsprechungsgemäss relevanten Kriterien erfolgte (Urteile 9C_915/2013 vom 3. April 2014 E. 5.1 und 9C_73/2009 vom 4. Februar 2010 E. 2.4).</w:t>
      </w:r>
    </w:p>
    <w:p>
      <w:r>
        <w:rPr>
          <w:b/>
        </w:rPr>
        <w:t>E. 2</w:t>
      </w:r>
    </w:p>
    <w:p>
      <w:r>
        <w:t>Streitig ist ein Anspruch auf Invalidenleistungen der beruflichen Vorsorge. Zu prüfen ist, ob aufgrund der Vorbringen der Beschwerdeführerin die vorinstanzliche Verneinung eines solchen Anspruchs gegen Bundesrecht verstösst. Nicht einzugehen ist auf die Beschwerdeschrift, soweit darin Kritik an der bundesgerichtlichen Rechtsprechung geübt wird, welche in keinem erkennbaren Zusammenhang mit den hier streitigen Belangen steht.</w:t>
      </w:r>
    </w:p>
    <w:p>
      <w:r>
        <w:rPr>
          <w:b/>
        </w:rPr>
        <w:t>E. 3.1</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Der Anspruch setzt einen engen zeitlichen und sachlichen Zusammenhang zwischen der während des Vorsorgeverhältnisses (einschliesslich Nachdeckungsfrist nach Art. 10 Abs. 3 BVG ) bestehenden Arbeitsunfähigkeit und der allenfalls erst später eingetretenen Invalidität voraus ( BGE 138 V 409 E. 6.2; 134 V 20 E. 3.2). Der sachliche Konnex ist gegeben, wenn der Gesundheitsschaden, welcher zur Arbeitsunfähigkeit geführt hat, im Wesentlichen derselbe ist, wie er der Erwerbsunfähigkeit zugrunde liegt ( BGE 138 V 409 E. 6.2).</w:t>
      </w:r>
    </w:p>
    <w:p>
      <w:r>
        <w:rPr>
          <w:b/>
        </w:rPr>
        <w:t>E. 3.2</w:t>
      </w:r>
    </w:p>
    <w:p>
      <w:r>
        <w:t>Die Annahme eines engen zeitlichen Zusammenhangs setzt voraus, dass die versicherte Person nach Eintritt der Arbeitsunfähigkeit, deren Ursache zur Invalidität geführt hat, nicht während längerer Zeit wieder arbeitsfähig war, was sich nach der Arbeits (un) fähigkeit in einer der gesundheitlichen Beeinträchtigung angepassten zumutbaren Tätigkeit beurteilt ( BGE 134 V 20 E. 5.3; Urteil 9C_278/2015 vom 2. Februar 2016 E. 2.3.2). Bei der Prüfung dieser Frage sind die gesamten Umstände des konkreten Einzelfalles zu berücksichtigen, namentlich die Art des Gesundheitsschadens, dessen prognostische medizinische Beurteilung sowie die Beweggründe, welche die versicherte Person zur Wiederaufnahme oder Nichtwiederaufnahme der Arbeit veranlasst haben (vgl. Urteil 9C_877/2018 vom 22. August 2019 E. 3.3).</w:t>
      </w:r>
    </w:p>
    <w:p>
      <w:r>
        <w:rPr>
          <w:b/>
        </w:rPr>
        <w:t>E. 3.3</w:t>
      </w:r>
    </w:p>
    <w:p>
      <w:r>
        <w:t>Eine Unterbrechung des zeitlichen Konnexes ist dann anzunehmen, wenn während mehr als dreier Monate eine Arbeitsfähigkeit - von über 80 % gemäss BGE 144 V 58 E. 4.5 - gegeben ist, sofern sich eine dauerhafte Wiedererlangung der Arbeitsfähigkeit als objektiv wahrscheinlich darstellt. Der zeitliche Zusammenhang kann daher auch bei einer länger als drei Monate dauernden Tätigkeit gewahrt sein, wenn eine dauerhafte berufliche Wiedereingliederung unwahrscheinlich war, etwa weil die Tätigkeit (allenfalls auch erst im Rückblick) als Eingliederungsversuch zu werten ist oder massgeblich auf sozialen Erwägungen des Arbeitgebers beruhte ( BGE 134 V 20 E. 3.2.1; Urteil 9C_340/2015 vom 21. November 2016 E. 4.1.2).</w:t>
      </w:r>
    </w:p>
    <w:p>
      <w:r>
        <w:rPr>
          <w:b/>
        </w:rPr>
        <w:t>E. 3.4</w:t>
      </w:r>
    </w:p>
    <w:p>
      <w:r>
        <w:t>Bei teilzeitlich erwerbstätigen Versicherten ist in der beruflichen Vorsorge stets der Invaliditätsgrad im Erwerbsbereich massgebend, und zwar lediglich im Rahmen (und Umfang) der Versicherungsdeckung, wie sie nach dem konkreten Beschäftigungsumfang zur Zeit des Eintritts der berufsvorsorgerechtlich relevanten Arbeitsunfähigkeit bestanden hat. Eine Aufrechnung der Teilzeittätigkeit auf eine (hypothetische) Vollzeittätigkeit erfolgt - auch nach Inkrafttreten der neuen Fassung des Art. 27bis IVV per 1. Januar 2018 - nicht ( BGE 144 V 63 E. 6.2, 6.3.2 und 7 mit Hinweisen; Urteil 9C_552/2020 vom 1. Dezember 2020 E. 3.3.2). Die Ermittlung des berufsvorsorgerechtlich relevanten Invaliditätsgrads ist in diesen Konstellationen regelmässig dergestalt vorzunehmen, dass die Vorsorgeeinrichtung das von der Invalidenversicherung festgesetzte Valideneinkommen, an welches sie grundsätzlich gebunden ist, auf das ausgeübte Teilzeitpensum herunterrechnet und gestützt darauf (sowie auf die übrigen prinzipiell verbindlichen Parameter) eine neuerliche Einkommensvergleichsrechnung durchführt ( BGE 144 V 63 E. 6.3.2 S. 71; Urteil 9C_552/2020 vom 1. Dezember 2020 E. 3.3.2).</w:t>
      </w:r>
    </w:p>
    <w:p>
      <w:r>
        <w:rPr>
          <w:b/>
        </w:rPr>
        <w:t>E. 4.1</w:t>
      </w:r>
    </w:p>
    <w:p>
      <w:r>
        <w:t>Das kantonale Gericht verneinte einen Anspruch der Versicherten auf eine Invalidenrente, da sie im Zeitpunkte des Eintritts der massgebenden Arbeitsunfähigkeit am 26. Februar 2015 nur noch zu 50 % bei der B.________ beschäftigt und damit auch nur noch in diesem Umfang bei der Beschwerdegegnerin versichert war. Den Verhältnissen vor der Pensumsreduktion im Jahre 2004 sprach das kantonale Gericht die Massgeblichkeit ab, da kein enger zeitlicher Zusammenhang im Sinne der Rechtsprechung zwischen der damaligen Arbeitsunfähigkeit und der jetzigen teilweisen Erwerbsunfähigkeit bestehe.</w:t>
      </w:r>
    </w:p>
    <w:p>
      <w:r>
        <w:rPr>
          <w:b/>
        </w:rPr>
        <w:t>E. 4.2</w:t>
      </w:r>
    </w:p>
    <w:p>
      <w:r>
        <w:t>Die Beschwerdeführerin macht geltend, ihr sei ärztlicherseits seit dem Jahre 2004 durchgehend eine Arbeitsunfähigkeit von mindestens 50 % bestätigt worden, weshalb die vorinstanzlichen Erwägungen zum zeitlichen Konnex gegen Bundesrecht verstosse. Dieser Ansicht kann indessen nicht gefolgt werden. Die Verfügung der IV-Stelle vom 5. April 2013 war Gegenstand gerichtlicher Überprüfung; deren offensichtliche Unhaltbarkeit (vgl. BGE 130 V 270 E. 3.1) wird von der Versicherten zu Recht nicht geltend gemacht. Aufgrund dieser Verfügung steht fest, dass eine Arbeitsunfähigkeit der Versicherten spätestens ab dem 1. Juni 2013 invalidenversicherungsrechtlich nicht relevant war, was auch berufsvorsorgerechtlich entsprechende Folgen zeitigte (vgl. die Durchbrechung von Art. 23 Abs. 3 BVG gemäss den Schlussbestimmungen der Änderung des IVG vom 18. März 2011 [6. IV-Revision, erstes Massnahmenpaket]; AS 2011 5676). Die Beschwerdeführerin legt im Weiteren nicht dar, dass vorliegend aufgrund der reglementarischen Bestimmungen der Beschwerdegegnerin ein von der Invalidenversicherung abweichender Invaliditätsbegriff zur Anwendung gelangen würde. Daraus folgt wiederum, dass eine über den 1. Juni 2013 hinaus anhaltende teilweise Arbeitsunfähigkeit der Versicherten auch berufsvorsorgerechtlich nicht zu beachten ist. Somit galt die Versicherte in der Zeit vom 1. Juni 2013 bis zum durch die Vorinstanz verbindlich festgestellten Zeitpunkt des Eintritts der erneuten Arbeitsunfähigkeit im Februar 2015 berufsvorsorgerechtlich als vollständig arbeitsfähig; der Schluss der Vorinstanz, der zeitliche Zusammenhang zwischen der Arbeitsunfähigkeit, welche im Jahre 2004 zur Pensumsreduktion geführt hatte und dieser erneuten Arbeitsunfähigkeit sei unterbrochen, erweist sich somit als nicht bundesrechtswidrig.</w:t>
      </w:r>
    </w:p>
    <w:p>
      <w:r>
        <w:rPr>
          <w:b/>
        </w:rPr>
        <w:t>E. 4.3</w:t>
      </w:r>
    </w:p>
    <w:p>
      <w:r>
        <w:t>Im vorliegend massgebenden Zeitpunkt der erneuten Arbeitsunfähigkeit im Februar 2015 war die Versicherte gemäss den unbestritten gebliebenen vorinstanzlichen Feststellungen nur zu 50 % erwerbstätig und folglich nur mit diesem Pensum berufsvorsorgeversichert. Entsprechend ist die Verneinung des Rentenanspruchs und die Abweisung der Klage durch das kantonale Gericht nicht zu beanstanden. Die Beschwerde der Versicherten ist abzuweisen.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