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9C_568/2013 vom 9. Januar 2014</w:t>
      </w:r>
    </w:p>
    <w:p>
      <w:r>
        <w:t>Bundesgericht, 2014-01-09, FR</w:t>
      </w:r>
    </w:p>
    <w:p>
      <w:r>
        <w:rPr>
          <w:b/>
        </w:rPr>
        <w:t xml:space="preserve">Quelle: </w:t>
      </w:r>
      <w:r>
        <w:t>https://mcp.opencaselaw.ch/entscheid/bger_9C_568_2013</w:t>
      </w:r>
    </w:p>
    <w:p>
      <w:r>
        <w:t>FR: TF 9C_568/2013 du 9 janvier 2014</w:t>
      </w:r>
    </w:p>
    <w:p>
      <w:r>
        <w:t>IT: TF 9C_568/2013 del 9 gennaio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voir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w:t>
      </w:r>
    </w:p>
    <w:p>
      <w:r>
        <w:t>ultra petita ( art. 107 al. 1 LTF ). Le recourant n'est habilité à critiquer la constatation des faits qui influent sur le sort du litige que si ceux-ci ont été établis en violation du droit ou de façon manifestement inexacte ( art. 97 al. 1 LTF ).</w:t>
      </w:r>
    </w:p>
    <w:p>
      <w:r>
        <w:rPr>
          <w:b/>
        </w:rPr>
        <w:t>E. 2</w:t>
      </w:r>
    </w:p>
    <w:p>
      <w:r>
        <w:t>Est litigieux le rachat d'années d'assurance; compte tenu des considérants et du dispositif de l'acte critiqué, des griefs et des conclusions de la caisse recourante ainsi que des exigences d'allégation et de motivation de l' art. 42 al. 2 LTF ( ATF 133 III 545 consid. 2.2 p. 550; voir aussi Florence Aubry Girardin,</w:t>
      </w:r>
    </w:p>
    <w:p>
      <w:r>
        <w:t>in Commentaire de la LTF, 2009, n° 25 ad art. 42 LTF ), il s'agit en particulier de déterminer si, à l'instar de ce que les premiers juges ont constaté, le principe constitutionnel de la protection de la bonne foi donnait à l'intimé la possibilité de racheter la part de sa prestation de sortie transférée à l'époque du divorce aux conditions de 1998. Le jugement attaqué cite justement les dispositions légales ainsi que les principes jurisprudentiels nécessaires à la résolution du cas de sorte qu'il suffit d'y renvoyer.</w:t>
      </w:r>
    </w:p>
    <w:p>
      <w:r>
        <w:rPr>
          <w:b/>
        </w:rPr>
        <w:t>E. 3</w:t>
      </w:r>
    </w:p>
    <w:p>
      <w:r>
        <w:t>La juridiction cantonale a considéré que la caisse recourante avait violé son devoir d'informer l'assuré sur la possibilité de racheter la prestation de sortie transférée lors du divorce et avait communiqué des informations erronées à l'intimé en établissant jusqu'en 2009 des certificats de prévoyance ne mentionnant pas le montant transféré. Dans ces circonstances, elle a interprété l'offre de l'institution de prévoyance de replacer l'assuré dans la situation qui eût été la sienne si aucune prestation de sortie n'avait été versée comme étant une proposition d'endosser la responsabilité du préjudice causé. Elle a en outre relevé que les dispositions légales et réglementaires applicables ne permettaient pas le rachat d'années d'assurance à des conditions passées. Elle a toutefois indiqué que, dans le cas particulier, le principe de la légalité devait céder le pas à celui de la bonne foi. Elle estimait en effet que la caisse recourante avait manqué à son obligation de renseigner (absence d'information sur la possibilité de reconstituer la prestation de sortie, communications incorrectes sur l'avoir de vieillesse disponible), que la violation de cette obligation était manifestement à l'origine d'un dommage qui ne pouvait désormais plus être corrigé légalement (impossibilité de rétablir la prévoyance telle qu'elle s'offrait à l'intimé avant son divorce), qu'il n'importait pas que l'assuré ait pu ou dû s'apercevoir du caractère erroné des renseignements fournis et intervenir pour en obtenir de justes ou les faire rectifier dans la mesure où on ne pouvait pas exiger de lui qu'il connaisse les possibilités de rachat et que le délai accordé afin de payer le montant du rachat le 24 décembre 2009 pour la fin de l'année par la CPVN était impossible à respecter selon toute vraisemblance de sorte que l'erreur commise par l'institution de prévoyance ne devait pas avoir de conséquences sur la situation de l'intimé, lequel avait manifesté au plus tard en novembre 2009 sa volonté d'effectuer un rachat.</w:t>
      </w:r>
    </w:p>
    <w:p>
      <w:r>
        <w:rPr>
          <w:b/>
        </w:rPr>
        <w:t>E. 4.1</w:t>
      </w:r>
    </w:p>
    <w:p>
      <w:r>
        <w:t>La caisse recourante considère que les conditions d'application du principe constitutionnel de la protection de la bonne foi ne sont en l'occurrence pas réunies, contrairement à ce que le tribunal cantonal a retenu. Elle soutient que le seul fait d'avoir envoyé des certificats de prévoyance contenant un renseignement inexact ne saurait être constitutif d'une intervention conduite dans une situation concrète à l'égard d'une personne déterminée du moment que l'engagement des institutions de prévoyance ne peut pas découler que de tels certificats et qu'il n'existe pas d'obligation légale directe et spontanée d'information. Elle prétend aussi que l'attitude de l'assuré au sujet de la correction des renseignements obtenus ne saurait être qualifiée de "sans importance" dès lors que le fait de ne pouvoir se rendre immédiatement compte de l'inexactitude d'une information est justement l'une des conditions du droit à la protection de la bonne foi et que l'intimé ne pouvait en aucun cas ignorer que le transfert d'une partie de sa prestation de sortie engendrerait forcément une diminution de celle-ci. Elle souligne enfin que l'absence d'un quelconque contact, écrit ou oral, entre les parties avant 2009 démontre que l'assuré n'avait pas l'intention de racheter les années d'assurance perdues avant cette date et que ce ne sont pas les indications erronées des certificats de prévoyance qui l'auraient conduit à prendre des dispositions irréversibles sur lesquelles il ne peut pas revenir sans subir de préjudices (ne pas procéder immédiatement au rachat évoqué aux conditions de l'époque).</w:t>
      </w:r>
    </w:p>
    <w:p>
      <w:r>
        <w:rPr>
          <w:b/>
        </w:rPr>
        <w:t>E. 4.2</w:t>
      </w:r>
    </w:p>
    <w:p>
      <w:r>
        <w:t>Conformément à ce qu'a correctement indiqué le tribunal cantonal, le principe de la bonne foi, ancré à l' art. 9 Cst. , protège le citoyen dans la confiance placée dans les assurances reçues des autorités (lorsqu'il règle sa conduite d'après les décisions, les déclarations ou le comportement de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(cf. ATF 131 II 627 consid. 6.1 p. 636 sv. et les références); ces conditions doivent aussi être remplies lorsque l'administration omet de renseigner l'administré alors qu'elle était légalement tenue de le faire (cf. ATF 136 V 331 consid. 4.3 p. 338; 131 V 472 consid. 5 p. 480 sv. et les références); elles sont en outre cumulatives (cf. arrêt 8C_901/2011 consid. 3.3).</w:t>
      </w:r>
    </w:p>
    <w:p>
      <w:r>
        <w:rPr>
          <w:b/>
        </w:rPr>
        <w:t>E. 4.3</w:t>
      </w:r>
    </w:p>
    <w:p>
      <w:r>
        <w:t>A supposer qu'il existe en l'espèce une obligation légale d'information ou que la communication régulière de certificats de prévoyance ne mentionnant pas la part de la prestation de sortie transférée lors du divorce puisse correspondre à ce que la jurisprudence entend par transmission d'une information ou d'une décision erronées, encore faudrait-il que les conditions cumulatives du droit constitutionnel à la protection de la bonne foi soient toutes remplies pour que l'intimé puisse racheter des années d'assurance à des conditions passées. Or, tel n'est à l'évidence pas le cas. En effet, il paraît d'une part que, conformément à ce que relève l'institution de prévoyance, les premiers juges ne pouvaient s'abstenir de déterminer si l'assuré pouvait ou devait se rendre compte de l'inexactitude des renseignements obtenus au moyen des certificats de prévoyance dans la mesure où il est patent et où il n'est pas nécessaire d'être juriste ou actuaire pour comprendre que l'amputation d'une partie de la prestation accumulée dans un but de prévoyance a nécessairement des répercussions sur les prestations versées lorsqu'un cas de prévoyance se réalise. Une telle constellation de faits aurait pour le moins dû pousser l'intimé à se renseigner sur les conséquences éventuelles, d'autant plus qu'il travaille pour X.________ en qualité de chef de service, ce qui laisse à penser des connaissances au minimum basiques en la matière. D'autre part, il apparaît de toute manière que l'assuré n'a dans sa requête ou dans sa réplique adressées à la juridiction cantonale pas esquissé la plus petite allusion au fait que, si la caisse recourante avait pleinement satisfait à son obligation d'informer ou lui avait transmis des indications fiables, il aurait sans délai procédé au rachat des années d'assurance perdues à l'époque de son divorce. Si les exigences en matière de preuve à cet égard sont certes atténuées, comme le mentionne correctement le tribunal cantonal (cf. ATF 121 V 65 consid. 2b p. 67), il appartient toutefois à l'assuré de rendre vraisemblable qu'il aurait agi de la sorte en invoquant notamment des projets concrets que la diminution des prestations ou la prise de conscience de cette diminution ne permettrait plus de mettre en oeuvre. L'absence totale d'éléments ou même d'allusions allant dans ce sens conduit à faire supporter le fardeau de la preuve et l'échec de celle-ci à l'intimé, même si l' art. 73 al. 2 LPP prévoit l'obligation d'instruction d'office, d'autant plus que celui-ci était assisté d'un avocat (cf. ATF 138 V 86 consid. 5.2.3 p. 97).</w:t>
      </w:r>
    </w:p>
    <w:p>
      <w:r>
        <w:rPr>
          <w:b/>
        </w:rPr>
        <w:t>E. 4.4</w:t>
      </w:r>
    </w:p>
    <w:p>
      <w:r>
        <w:t>L'une des conditions d'application du principe constitutionnel de la protection de la bonne foi au moins n'étant pas remplie, il convient par conséquent d'annuler le jugement entrepris.</w:t>
      </w:r>
    </w:p>
    <w:p>
      <w:r>
        <w:rPr>
          <w:b/>
        </w:rPr>
        <w:t>E. 5</w:t>
      </w:r>
    </w:p>
    <w:p>
      <w:r>
        <w:t>Vu l'issue du litige, les frais judiciaires sont mis à la charge de l'assuré (art. 66 al. LTF); les parties ne sauraient prétendre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