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9C_567/2024 vom 21. Oktober 2024</w:t>
      </w:r>
    </w:p>
    <w:p>
      <w:r>
        <w:t>Bundesgericht, 2024-10-21, DE</w:t>
      </w:r>
    </w:p>
    <w:p>
      <w:r>
        <w:rPr>
          <w:b/>
        </w:rPr>
        <w:t xml:space="preserve">Quelle: </w:t>
      </w:r>
      <w:r>
        <w:t>https://mcp.opencaselaw.ch/entscheid/bger_9C_567_2024</w:t>
      </w:r>
    </w:p>
    <w:p>
      <w:r>
        <w:t>FR: TF 9C_567/2024 du 21 octobre 2024</w:t>
      </w:r>
    </w:p>
    <w:p>
      <w:r>
        <w:t>IT: TF 9C_567/2024 del 21 ottobre 2024</w:t>
      </w:r>
    </w:p>
    <w:p>
      <w:pPr>
        <w:pStyle w:val="Heading2"/>
      </w:pPr>
      <w:r>
        <w:t>Volltext</w:t>
      </w:r>
    </w:p>
    <w:p>
      <w:r>
        <w:t>Bundesgericht</w:t>
      </w:r>
    </w:p>
    <w:p>
      <w:r>
        <w:t>Tribunal fédéral</w:t>
      </w:r>
    </w:p>
    <w:p>
      <w:r>
        <w:t>Tribunale federale</w:t>
      </w:r>
    </w:p>
    <w:p>
      <w:r>
        <w:t>Tribunal federal</w:t>
      </w:r>
    </w:p>
    <w:p>
      <w:r>
        <w:t>9C_567/2024</w:t>
      </w:r>
    </w:p>
    <w:p>
      <w:r>
        <w:t>Urteil vom 21. Oktober 2024</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Steuerverwaltung des Kantons Bern, Brünnenstrasse 66, 3018 Bern,</w:t>
      </w:r>
    </w:p>
    <w:p>
      <w:r>
        <w:t>Beschwerdegegnerin.</w:t>
      </w:r>
    </w:p>
    <w:p>
      <w:r>
        <w:t>Gegenstand</w:t>
      </w:r>
    </w:p>
    <w:p>
      <w:r>
        <w:t>Grundstückgewinnsteuer des Kantons Bern,</w:t>
      </w:r>
    </w:p>
    <w:p>
      <w:r>
        <w:t>Beschwerde gegen das Urteil des Verwaltungsgerichts des Kantons Bern vom 12. September 2024 (100.2024.216U).</w:t>
      </w:r>
    </w:p>
    <w:p>
      <w:r>
        <w:t>Nach Einsicht</w:t>
      </w:r>
    </w:p>
    <w:p>
      <w:r>
        <w:t>in das Urteil vom 12. September 2024, mit welchem das Verwaltungsgericht des Kantons Bern (im einzelrichterlichen Verfahren) die Beschwerde abwies, welche A.________ gegen den wegen nicht fristgerechter Leistung des Kostenvorschusses (Nachfrist bis 23. Mai 2024) ergangenen Nichteintretensentscheid der Steuerrekurskommission des Kantons Bern vom 21. Juni 2024 erhoben hatte,</w:t>
      </w:r>
    </w:p>
    <w:p>
      <w:r>
        <w:t>in die von A.________ hiegegen eingereichte Beschwerde vom 12. Oktober 2024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Vorinstanz erkannte, die Steuerrekurskommission sei zu Recht nicht auf den Rekurs eingetreten, weil der Beschwerdeführer den Nachweis für die von ihm behauptete rechtzeitige Leistung des im Rekursverfahren einverlangten Kostenvorschusses (d.h. spätestens mit Valuta vom 23. Mai 2024) nicht erbracht habe,</w:t>
      </w:r>
    </w:p>
    <w:p>
      <w:r>
        <w:t>dass der Beschwerdeführer sich darauf beschränkt, das im kantonalen Verfahren Vorgebrachte zu wiederholen und im Übrigen sein Unverständnis darüber auszudrücken, dass eine solche "Kleinigkeit" einen Nichteintretensgrund darstelle, womit er sich gegen die - im Prozessrecht allerdings unabdingbare - Formstrenge wendet, was unbehelflich ist,</w:t>
      </w:r>
    </w:p>
    <w:p>
      <w:r>
        <w:t>dass seine Eingabe den Mindestanforderungen an eine Beschwerdebegründung damit nicht genügt, weil den Ausführungen nicht entnommen werden kann, inwiefern die vorinstanzliche Sachverhaltsfeststellung im Sinne von Art. 97 Abs. 1 BGG - soweit überhaupt beanstandet - unzutreffend und die darauf beruhenden Erwägungen rechtsfehlerhaft sein sollen,</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1'000.- werden dem Beschwerdeführer auferlegt.</w:t>
      </w:r>
    </w:p>
    <w:p>
      <w:r>
        <w:t>3.</w:t>
      </w:r>
    </w:p>
    <w:p>
      <w:r>
        <w:t>Dieses Urteil wird den Parteien und dem Verwaltungsgericht des Kantons Bern, Verwaltungsrechtliche Abteilung, Einzelrichterin, schriftlich mitgeteilt.</w:t>
      </w:r>
    </w:p>
    <w:p>
      <w:r>
        <w:t>Luzern, 21. Oktober 2024</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